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bookmarkStart w:id="303" w:name="_GoBack"/>
      <w:bookmarkEnd w:id="303"/>
    </w:p>
    <w:p>
      <w:pPr>
        <w:pStyle w:val="2"/>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eastAsia" w:ascii="方正小标宋简体" w:hAnsi="方正小标宋简体" w:eastAsia="方正小标宋简体" w:cs="方正小标宋简体"/>
          <w:color w:val="000000" w:themeColor="text1"/>
          <w:spacing w:val="-10"/>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pacing w:val="-10"/>
          <w:sz w:val="44"/>
          <w:szCs w:val="44"/>
          <w:highlight w:val="none"/>
          <w:lang w:val="en-US" w:eastAsia="zh-CN"/>
          <w14:textFill>
            <w14:solidFill>
              <w14:schemeClr w14:val="tx1"/>
            </w14:solidFill>
          </w14:textFill>
        </w:rPr>
        <w:t>陆丰市国民经济和社会发展第十四个五年</w:t>
      </w:r>
    </w:p>
    <w:p>
      <w:pPr>
        <w:pStyle w:val="2"/>
        <w:keepNext w:val="0"/>
        <w:keepLines w:val="0"/>
        <w:pageBreakBefore w:val="0"/>
        <w:widowControl w:val="0"/>
        <w:kinsoku/>
        <w:wordWrap/>
        <w:overflowPunct/>
        <w:topLinePunct w:val="0"/>
        <w:autoSpaceDE/>
        <w:autoSpaceDN/>
        <w:bidi w:val="0"/>
        <w:adjustRightInd/>
        <w:snapToGrid/>
        <w:spacing w:line="800" w:lineRule="exact"/>
        <w:ind w:firstLine="0" w:firstLineChars="0"/>
        <w:jc w:val="center"/>
        <w:textAlignment w:val="auto"/>
        <w:rPr>
          <w:rFonts w:hint="eastAsia" w:ascii="方正小标宋简体" w:hAnsi="方正小标宋简体" w:eastAsia="方正小标宋简体" w:cs="方正小标宋简体"/>
          <w:color w:val="000000" w:themeColor="text1"/>
          <w:spacing w:val="-10"/>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pacing w:val="-10"/>
          <w:sz w:val="44"/>
          <w:szCs w:val="44"/>
          <w:highlight w:val="none"/>
          <w:lang w:val="en-US" w:eastAsia="zh-CN"/>
          <w14:textFill>
            <w14:solidFill>
              <w14:schemeClr w14:val="tx1"/>
            </w14:solidFill>
          </w14:textFill>
        </w:rPr>
        <w:t>规划和二〇三五年远景目标纲要</w:t>
      </w:r>
    </w:p>
    <w:p>
      <w:pPr>
        <w:pStyle w:val="2"/>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pStyle w:val="2"/>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pStyle w:val="2"/>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pStyle w:val="2"/>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pStyle w:val="2"/>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pStyle w:val="2"/>
        <w:ind w:left="0" w:leftChars="0" w:firstLine="0" w:firstLineChars="0"/>
        <w:rPr>
          <w:rFonts w:hint="eastAsia" w:ascii="黑体" w:hAnsi="黑体" w:eastAsia="黑体" w:cs="黑体"/>
          <w:b/>
          <w:bCs/>
          <w:color w:val="000000" w:themeColor="text1"/>
          <w:sz w:val="32"/>
          <w:szCs w:val="32"/>
          <w:highlight w:val="none"/>
          <w:u w:val="none" w:color="auto"/>
          <w:lang w:val="en-US" w:eastAsia="zh-CN"/>
          <w14:textFill>
            <w14:solidFill>
              <w14:schemeClr w14:val="tx1"/>
            </w14:solidFill>
          </w14:textFill>
        </w:rPr>
      </w:pPr>
    </w:p>
    <w:p>
      <w:pPr>
        <w:pStyle w:val="2"/>
        <w:rPr>
          <w:rFonts w:hint="eastAsia" w:ascii="黑体" w:hAnsi="黑体" w:eastAsia="黑体" w:cs="黑体"/>
          <w:b w:val="0"/>
          <w:bCs w:val="0"/>
          <w:color w:val="000000" w:themeColor="text1"/>
          <w:sz w:val="36"/>
          <w:szCs w:val="36"/>
          <w:highlight w:val="none"/>
          <w:u w:val="none" w:color="auto"/>
          <w:lang w:val="en-US" w:eastAsia="zh-CN"/>
          <w14:textFill>
            <w14:solidFill>
              <w14:schemeClr w14:val="tx1"/>
            </w14:solidFill>
          </w14:textFill>
        </w:rPr>
      </w:pPr>
    </w:p>
    <w:p>
      <w:pPr>
        <w:rPr>
          <w:rFonts w:hint="eastAsia" w:ascii="黑体" w:hAnsi="黑体" w:eastAsia="黑体" w:cs="黑体"/>
          <w:b w:val="0"/>
          <w:bCs w:val="0"/>
          <w:color w:val="000000" w:themeColor="text1"/>
          <w:sz w:val="36"/>
          <w:szCs w:val="36"/>
          <w:highlight w:val="none"/>
          <w:u w:val="none" w:color="auto"/>
          <w:lang w:val="en-US" w:eastAsia="zh-CN"/>
          <w14:textFill>
            <w14:solidFill>
              <w14:schemeClr w14:val="tx1"/>
            </w14:solidFill>
          </w14:textFill>
        </w:rPr>
      </w:pPr>
    </w:p>
    <w:p>
      <w:pPr>
        <w:pStyle w:val="2"/>
        <w:rPr>
          <w:rFonts w:hint="eastAsia" w:ascii="黑体" w:hAnsi="黑体" w:eastAsia="黑体" w:cs="黑体"/>
          <w:b w:val="0"/>
          <w:bCs w:val="0"/>
          <w:color w:val="000000" w:themeColor="text1"/>
          <w:sz w:val="36"/>
          <w:szCs w:val="36"/>
          <w:highlight w:val="none"/>
          <w:u w:val="none" w:color="auto"/>
          <w:lang w:val="en-US" w:eastAsia="zh-CN"/>
          <w14:textFill>
            <w14:solidFill>
              <w14:schemeClr w14:val="tx1"/>
            </w14:solidFill>
          </w14:textFill>
        </w:rPr>
      </w:pPr>
    </w:p>
    <w:p>
      <w:pPr>
        <w:rPr>
          <w:rFonts w:hint="eastAsia" w:ascii="黑体" w:hAnsi="黑体" w:eastAsia="黑体" w:cs="黑体"/>
          <w:b w:val="0"/>
          <w:bCs w:val="0"/>
          <w:color w:val="000000" w:themeColor="text1"/>
          <w:sz w:val="36"/>
          <w:szCs w:val="36"/>
          <w:highlight w:val="none"/>
          <w:u w:val="none" w:color="auto"/>
          <w:lang w:val="en-US" w:eastAsia="zh-CN"/>
          <w14:textFill>
            <w14:solidFill>
              <w14:schemeClr w14:val="tx1"/>
            </w14:solidFill>
          </w14:textFill>
        </w:rPr>
      </w:pPr>
    </w:p>
    <w:p>
      <w:pPr>
        <w:pStyle w:val="2"/>
      </w:pPr>
    </w:p>
    <w:p/>
    <w:sdt>
      <w:sdtPr>
        <w:rPr>
          <w:rFonts w:hint="eastAsia" w:ascii="黑体" w:hAnsi="黑体" w:eastAsia="黑体" w:cs="黑体"/>
          <w:b/>
          <w:bCs/>
          <w:color w:val="000000" w:themeColor="text1"/>
          <w:sz w:val="32"/>
          <w:szCs w:val="32"/>
          <w:highlight w:val="none"/>
          <w:u w:val="none" w:color="auto"/>
          <w14:textFill>
            <w14:solidFill>
              <w14:schemeClr w14:val="tx1"/>
            </w14:solidFill>
          </w14:textFill>
        </w:rPr>
        <w:id w:val="147453286"/>
        <w15:color w:val="DBDBDB"/>
        <w:docPartObj>
          <w:docPartGallery w:val="Table of Contents"/>
          <w:docPartUnique/>
        </w:docPartObj>
      </w:sdtPr>
      <w:sdtEndPr>
        <w:rPr>
          <w:rFonts w:hint="eastAsia" w:ascii="宋体" w:hAnsi="宋体" w:eastAsia="宋体" w:cs="Times New Roman"/>
          <w:b w:val="0"/>
          <w:bCs w:val="0"/>
          <w:color w:val="000000" w:themeColor="text1"/>
          <w:sz w:val="21"/>
          <w:szCs w:val="24"/>
          <w:highlight w:val="none"/>
          <w:u w:val="none" w:color="auto"/>
          <w14:textFill>
            <w14:solidFill>
              <w14:schemeClr w14:val="tx1"/>
            </w14:solidFill>
          </w14:textFill>
        </w:rPr>
      </w:sdtEndPr>
      <w:sdtContent>
        <w:p>
          <w:pPr>
            <w:jc w:val="center"/>
            <w:rPr>
              <w:rFonts w:hint="eastAsia" w:ascii="黑体" w:hAnsi="黑体" w:eastAsia="黑体" w:cs="Times New Roman"/>
              <w:color w:val="000000" w:themeColor="text1"/>
              <w:sz w:val="32"/>
              <w:szCs w:val="32"/>
              <w:highlight w:val="none"/>
              <w14:textFill>
                <w14:solidFill>
                  <w14:schemeClr w14:val="tx1"/>
                </w14:solidFill>
              </w14:textFill>
            </w:rPr>
          </w:pPr>
          <w:r>
            <w:rPr>
              <w:rFonts w:hint="eastAsia" w:ascii="黑体" w:hAnsi="黑体" w:eastAsia="黑体" w:cs="Times New Roman"/>
              <w:color w:val="000000" w:themeColor="text1"/>
              <w:sz w:val="32"/>
              <w:szCs w:val="32"/>
              <w:highlight w:val="none"/>
              <w14:textFill>
                <w14:solidFill>
                  <w14:schemeClr w14:val="tx1"/>
                </w14:solidFill>
              </w14:textFill>
            </w:rPr>
            <w:t>目</w:t>
          </w:r>
          <w:r>
            <w:rPr>
              <w:rFonts w:hint="eastAsia" w:ascii="黑体" w:hAnsi="黑体" w:eastAsia="黑体" w:cs="Times New Roman"/>
              <w:color w:val="000000" w:themeColor="text1"/>
              <w:sz w:val="32"/>
              <w:szCs w:val="32"/>
              <w:highlight w:val="none"/>
              <w:lang w:val="en-US" w:eastAsia="zh-CN"/>
              <w14:textFill>
                <w14:solidFill>
                  <w14:schemeClr w14:val="tx1"/>
                </w14:solidFill>
              </w14:textFill>
            </w:rPr>
            <w:t xml:space="preserve">  </w:t>
          </w:r>
          <w:r>
            <w:rPr>
              <w:rFonts w:hint="eastAsia" w:ascii="黑体" w:hAnsi="黑体" w:eastAsia="黑体" w:cs="Times New Roman"/>
              <w:color w:val="000000" w:themeColor="text1"/>
              <w:sz w:val="32"/>
              <w:szCs w:val="32"/>
              <w:highlight w:val="none"/>
              <w14:textFill>
                <w14:solidFill>
                  <w14:schemeClr w14:val="tx1"/>
                </w14:solidFill>
              </w14:textFill>
            </w:rPr>
            <w:t>录</w:t>
          </w:r>
        </w:p>
        <w:p>
          <w:pPr>
            <w:pStyle w:val="20"/>
            <w:tabs>
              <w:tab w:val="right" w:leader="dot" w:pos="8306"/>
              <w:tab w:val="clear" w:pos="8296"/>
            </w:tabs>
          </w:pPr>
          <w:r>
            <w:rPr>
              <w:rFonts w:ascii="宋体" w:hAnsi="宋体" w:eastAsia="宋体"/>
              <w:b w:val="0"/>
              <w:i w:val="0"/>
              <w:caps w:val="0"/>
              <w:color w:val="000000" w:themeColor="text1"/>
              <w:spacing w:val="0"/>
              <w:w w:val="100"/>
              <w:sz w:val="20"/>
              <w:szCs w:val="28"/>
              <w:highlight w:val="none"/>
              <w:u w:val="none" w:color="auto"/>
              <w14:textFill>
                <w14:solidFill>
                  <w14:schemeClr w14:val="tx1"/>
                </w14:solidFill>
              </w14:textFill>
            </w:rPr>
            <w:fldChar w:fldCharType="begin"/>
          </w:r>
          <w:r>
            <w:rPr>
              <w:rFonts w:ascii="宋体" w:hAnsi="宋体" w:eastAsia="宋体"/>
              <w:b w:val="0"/>
              <w:i w:val="0"/>
              <w:caps w:val="0"/>
              <w:color w:val="000000" w:themeColor="text1"/>
              <w:spacing w:val="0"/>
              <w:w w:val="100"/>
              <w:sz w:val="20"/>
              <w:szCs w:val="28"/>
              <w:highlight w:val="none"/>
              <w:u w:val="none" w:color="auto"/>
              <w14:textFill>
                <w14:solidFill>
                  <w14:schemeClr w14:val="tx1"/>
                </w14:solidFill>
              </w14:textFill>
            </w:rPr>
            <w:instrText xml:space="preserve">TOC \o "1-2" \h \u </w:instrText>
          </w:r>
          <w:r>
            <w:rPr>
              <w:rFonts w:ascii="宋体" w:hAnsi="宋体" w:eastAsia="宋体"/>
              <w:b w:val="0"/>
              <w:i w:val="0"/>
              <w:caps w:val="0"/>
              <w:color w:val="000000" w:themeColor="text1"/>
              <w:spacing w:val="0"/>
              <w:w w:val="100"/>
              <w:sz w:val="20"/>
              <w:szCs w:val="28"/>
              <w:highlight w:val="none"/>
              <w:u w:val="none" w:color="auto"/>
              <w14:textFill>
                <w14:solidFill>
                  <w14:schemeClr w14:val="tx1"/>
                </w14:solidFill>
              </w14:textFill>
            </w:rPr>
            <w:fldChar w:fldCharType="separate"/>
          </w:r>
          <w:r>
            <w:rPr>
              <w:rFonts w:ascii="宋体" w:hAnsi="宋体" w:eastAsia="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eastAsia="宋体"/>
              <w:i w:val="0"/>
              <w:caps w:val="0"/>
              <w:spacing w:val="0"/>
              <w:w w:val="100"/>
              <w:szCs w:val="28"/>
              <w:highlight w:val="none"/>
            </w:rPr>
            <w:instrText xml:space="preserve"> HYPERLINK \l _Toc24559 </w:instrText>
          </w:r>
          <w:r>
            <w:rPr>
              <w:rFonts w:ascii="宋体" w:hAnsi="宋体" w:eastAsia="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第一章“十三五”时期发展成就和“十四五”时期发展形势</w:t>
          </w:r>
          <w:r>
            <w:tab/>
          </w:r>
          <w:r>
            <w:fldChar w:fldCharType="begin"/>
          </w:r>
          <w:r>
            <w:instrText xml:space="preserve"> PAGEREF _Toc24559 \h </w:instrText>
          </w:r>
          <w:r>
            <w:fldChar w:fldCharType="separate"/>
          </w:r>
          <w:r>
            <w:t>- 8 -</w:t>
          </w:r>
          <w:r>
            <w:fldChar w:fldCharType="end"/>
          </w:r>
          <w:r>
            <w:rPr>
              <w:rFonts w:ascii="宋体" w:hAnsi="宋体" w:eastAsia="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_Toc29530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“十三五”时期我市发展取得重大成就</w:t>
          </w:r>
          <w:r>
            <w:tab/>
          </w:r>
          <w:r>
            <w:fldChar w:fldCharType="begin"/>
          </w:r>
          <w:r>
            <w:instrText xml:space="preserve"> PAGEREF _Toc29530 \h </w:instrText>
          </w:r>
          <w:r>
            <w:fldChar w:fldCharType="separate"/>
          </w:r>
          <w:r>
            <w:t>- 8 -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_Toc25076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“十四五”时期我市面临重大机遇和挑战</w:t>
          </w:r>
          <w:r>
            <w:tab/>
          </w:r>
          <w:r>
            <w:fldChar w:fldCharType="begin"/>
          </w:r>
          <w:r>
            <w:instrText xml:space="preserve"> PAGEREF _Toc25076 \h </w:instrText>
          </w:r>
          <w:r>
            <w:fldChar w:fldCharType="separate"/>
          </w:r>
          <w:r>
            <w:t>- 17 -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_Toc27657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 xml:space="preserve">第二章 </w:t>
          </w:r>
          <w:r>
            <w:rPr>
              <w:rFonts w:hint="eastAsia" w:ascii="方正小标宋简体" w:eastAsia="方正小标宋简体" w:cs="仿宋" w:hAnsiTheme="minorEastAsia"/>
              <w:spacing w:val="-12"/>
              <w:szCs w:val="32"/>
              <w:highlight w:val="none"/>
              <w:lang w:val="zh-CN"/>
            </w:rPr>
            <w:t>总体要求</w:t>
          </w:r>
          <w:r>
            <w:tab/>
          </w:r>
          <w:r>
            <w:fldChar w:fldCharType="begin"/>
          </w:r>
          <w:r>
            <w:instrText xml:space="preserve"> PAGEREF _Toc27657 \h </w:instrText>
          </w:r>
          <w:r>
            <w:fldChar w:fldCharType="separate"/>
          </w:r>
          <w:r>
            <w:t>- 21 -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_Toc6863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 xml:space="preserve">第一节 </w:t>
          </w:r>
          <w:r>
            <w:rPr>
              <w:rFonts w:hint="eastAsia" w:ascii="黑体" w:hAnsi="黑体" w:eastAsia="黑体" w:cs="仿宋"/>
              <w:szCs w:val="32"/>
              <w:highlight w:val="none"/>
              <w:lang w:val="zh-CN"/>
            </w:rPr>
            <w:t>指导思想</w:t>
          </w:r>
          <w:r>
            <w:tab/>
          </w:r>
          <w:r>
            <w:fldChar w:fldCharType="begin"/>
          </w:r>
          <w:r>
            <w:instrText xml:space="preserve"> PAGEREF _Toc6863 \h </w:instrText>
          </w:r>
          <w:r>
            <w:fldChar w:fldCharType="separate"/>
          </w:r>
          <w:r>
            <w:t>- 21 -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_Toc31583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 xml:space="preserve">第二节 </w:t>
          </w:r>
          <w:r>
            <w:rPr>
              <w:rFonts w:hint="eastAsia" w:ascii="黑体" w:hAnsi="黑体" w:eastAsia="黑体" w:cs="仿宋"/>
              <w:szCs w:val="32"/>
              <w:highlight w:val="none"/>
              <w:lang w:val="zh-CN"/>
            </w:rPr>
            <w:t>基本原则</w:t>
          </w:r>
          <w:r>
            <w:tab/>
          </w:r>
          <w:r>
            <w:fldChar w:fldCharType="begin"/>
          </w:r>
          <w:r>
            <w:instrText xml:space="preserve"> PAGEREF _Toc31583 \h </w:instrText>
          </w:r>
          <w:r>
            <w:fldChar w:fldCharType="separate"/>
          </w:r>
          <w:r>
            <w:t>- 22 -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_Toc22325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 xml:space="preserve">第三节 </w:t>
          </w:r>
          <w:r>
            <w:rPr>
              <w:rFonts w:hint="eastAsia" w:ascii="黑体" w:hAnsi="黑体" w:eastAsia="黑体" w:cs="仿宋"/>
              <w:szCs w:val="32"/>
              <w:highlight w:val="none"/>
              <w:lang w:val="zh-CN"/>
            </w:rPr>
            <w:t>发展目标</w:t>
          </w:r>
          <w:r>
            <w:tab/>
          </w:r>
          <w:r>
            <w:fldChar w:fldCharType="begin"/>
          </w:r>
          <w:r>
            <w:instrText xml:space="preserve"> PAGEREF _Toc22325 \h </w:instrText>
          </w:r>
          <w:r>
            <w:fldChar w:fldCharType="separate"/>
          </w:r>
          <w:r>
            <w:t>- 24 -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_Toc16017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第三章 强化东承西接重要支撑作用，融入新发展格局</w:t>
          </w:r>
          <w:r>
            <w:tab/>
          </w:r>
          <w:r>
            <w:fldChar w:fldCharType="begin"/>
          </w:r>
          <w:r>
            <w:instrText xml:space="preserve"> PAGEREF _Toc16017 \h </w:instrText>
          </w:r>
          <w:r>
            <w:fldChar w:fldCharType="separate"/>
          </w:r>
          <w:r>
            <w:t>- 28 -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_Toc32148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全面接轨深圳</w:t>
          </w:r>
          <w:r>
            <w:tab/>
          </w:r>
          <w:r>
            <w:fldChar w:fldCharType="begin"/>
          </w:r>
          <w:r>
            <w:instrText xml:space="preserve"> PAGEREF _Toc32148 \h </w:instrText>
          </w:r>
          <w:r>
            <w:fldChar w:fldCharType="separate"/>
          </w:r>
          <w:r>
            <w:t>- 29 -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_Toc28726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全力融入“双区”</w:t>
          </w:r>
          <w:r>
            <w:tab/>
          </w:r>
          <w:r>
            <w:fldChar w:fldCharType="begin"/>
          </w:r>
          <w:r>
            <w:instrText xml:space="preserve"> PAGEREF _Toc28726 \h </w:instrText>
          </w:r>
          <w:r>
            <w:fldChar w:fldCharType="separate"/>
          </w:r>
          <w:r>
            <w:t>- 32 -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_Toc7295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积极携手汕潮揭</w:t>
          </w:r>
          <w:r>
            <w:tab/>
          </w:r>
          <w:r>
            <w:fldChar w:fldCharType="begin"/>
          </w:r>
          <w:r>
            <w:instrText xml:space="preserve"> PAGEREF _Toc7295 \h </w:instrText>
          </w:r>
          <w:r>
            <w:fldChar w:fldCharType="separate"/>
          </w:r>
          <w:r>
            <w:t>- 37 -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_Toc4489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第四章 深入贯彻创新发展战略，打造高质量发展新引擎</w:t>
          </w:r>
          <w:r>
            <w:tab/>
          </w:r>
          <w:r>
            <w:fldChar w:fldCharType="begin"/>
          </w:r>
          <w:r>
            <w:instrText xml:space="preserve"> PAGEREF _Toc4489 \h </w:instrText>
          </w:r>
          <w:r>
            <w:fldChar w:fldCharType="separate"/>
          </w:r>
          <w:r>
            <w:t>- 39 -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_Toc29040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加快培育创新平台</w:t>
          </w:r>
          <w:r>
            <w:tab/>
          </w:r>
          <w:r>
            <w:fldChar w:fldCharType="begin"/>
          </w:r>
          <w:r>
            <w:instrText xml:space="preserve"> PAGEREF _Toc29040 \h </w:instrText>
          </w:r>
          <w:r>
            <w:fldChar w:fldCharType="separate"/>
          </w:r>
          <w:r>
            <w:t>- 39 -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_Toc20121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提高企业自主创新能力</w:t>
          </w:r>
          <w:r>
            <w:tab/>
          </w:r>
          <w:r>
            <w:fldChar w:fldCharType="begin"/>
          </w:r>
          <w:r>
            <w:instrText xml:space="preserve"> PAGEREF _Toc20121 \h </w:instrText>
          </w:r>
          <w:r>
            <w:fldChar w:fldCharType="separate"/>
          </w:r>
          <w:r>
            <w:t>- 40 -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_Toc21169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激发人才创新活力</w:t>
          </w:r>
          <w:r>
            <w:tab/>
          </w:r>
          <w:r>
            <w:fldChar w:fldCharType="begin"/>
          </w:r>
          <w:r>
            <w:instrText xml:space="preserve"> PAGEREF _Toc21169 \h </w:instrText>
          </w:r>
          <w:r>
            <w:fldChar w:fldCharType="separate"/>
          </w:r>
          <w:r>
            <w:t>- 40 -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_Toc32030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健全科技创新机制体制</w:t>
          </w:r>
          <w:r>
            <w:tab/>
          </w:r>
          <w:r>
            <w:fldChar w:fldCharType="begin"/>
          </w:r>
          <w:r>
            <w:instrText xml:space="preserve"> PAGEREF _Toc32030 \h </w:instrText>
          </w:r>
          <w:r>
            <w:fldChar w:fldCharType="separate"/>
          </w:r>
          <w:r>
            <w:t>- 41 -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_Toc32103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第五章 坚决贯彻新发展理念，加快构建现代产业体系</w:t>
          </w:r>
          <w:r>
            <w:tab/>
          </w:r>
          <w:r>
            <w:fldChar w:fldCharType="begin"/>
          </w:r>
          <w:r>
            <w:instrText xml:space="preserve"> PAGEREF _Toc32103 \h </w:instrText>
          </w:r>
          <w:r>
            <w:fldChar w:fldCharType="separate"/>
          </w:r>
          <w:r>
            <w:t>- 41 -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_Toc21196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提升发展先进制造业与战略性新兴产业</w:t>
          </w:r>
          <w:r>
            <w:tab/>
          </w:r>
          <w:r>
            <w:fldChar w:fldCharType="begin"/>
          </w:r>
          <w:r>
            <w:instrText xml:space="preserve"> PAGEREF _Toc21196 \h </w:instrText>
          </w:r>
          <w:r>
            <w:fldChar w:fldCharType="separate"/>
          </w:r>
          <w:r>
            <w:t>- 42 -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_Toc4369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提升现代服务业发展水平</w:t>
          </w:r>
          <w:r>
            <w:tab/>
          </w:r>
          <w:r>
            <w:fldChar w:fldCharType="begin"/>
          </w:r>
          <w:r>
            <w:instrText xml:space="preserve"> PAGEREF _Toc4369 \h </w:instrText>
          </w:r>
          <w:r>
            <w:fldChar w:fldCharType="separate"/>
          </w:r>
          <w:r>
            <w:t>- 45 -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_Toc5972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大力发展海洋经济</w:t>
          </w:r>
          <w:r>
            <w:tab/>
          </w:r>
          <w:r>
            <w:fldChar w:fldCharType="begin"/>
          </w:r>
          <w:r>
            <w:instrText xml:space="preserve"> PAGEREF _Toc5972 \h </w:instrText>
          </w:r>
          <w:r>
            <w:fldChar w:fldCharType="separate"/>
          </w:r>
          <w:r>
            <w:t>- 50 -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_Toc3075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打造数字经济新高地</w:t>
          </w:r>
          <w:r>
            <w:tab/>
          </w:r>
          <w:r>
            <w:fldChar w:fldCharType="begin"/>
          </w:r>
          <w:r>
            <w:instrText xml:space="preserve"> PAGEREF _Toc3075 \h </w:instrText>
          </w:r>
          <w:r>
            <w:fldChar w:fldCharType="separate"/>
          </w:r>
          <w:r>
            <w:t>- 55 -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_Toc30591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第五节 大力建设质量强市</w:t>
          </w:r>
          <w:r>
            <w:tab/>
          </w:r>
          <w:r>
            <w:fldChar w:fldCharType="begin"/>
          </w:r>
          <w:r>
            <w:instrText xml:space="preserve"> PAGEREF _Toc30591 \h </w:instrText>
          </w:r>
          <w:r>
            <w:fldChar w:fldCharType="separate"/>
          </w:r>
          <w:r>
            <w:t>- 58 -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_Toc30876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 xml:space="preserve">第六章 </w:t>
          </w:r>
          <w:r>
            <w:rPr>
              <w:rFonts w:hint="eastAsia" w:ascii="方正小标宋简体" w:eastAsia="方正小标宋简体" w:cs="仿宋" w:hAnsiTheme="minorEastAsia"/>
              <w:spacing w:val="-12"/>
              <w:szCs w:val="32"/>
              <w:highlight w:val="none"/>
              <w:lang w:val="zh-CN"/>
            </w:rPr>
            <w:t>完善基础设施</w:t>
          </w:r>
          <w:r>
            <w:rPr>
              <w:rFonts w:hint="eastAsia" w:ascii="方正小标宋简体" w:eastAsia="方正小标宋简体" w:cs="仿宋" w:hAnsiTheme="minorEastAsia"/>
              <w:spacing w:val="-12"/>
              <w:szCs w:val="32"/>
              <w:highlight w:val="none"/>
            </w:rPr>
            <w:t>建设</w:t>
          </w:r>
          <w:r>
            <w:rPr>
              <w:rFonts w:hint="eastAsia" w:ascii="方正小标宋简体" w:eastAsia="方正小标宋简体" w:cs="仿宋" w:hAnsiTheme="minorEastAsia"/>
              <w:spacing w:val="-12"/>
              <w:szCs w:val="32"/>
              <w:highlight w:val="none"/>
              <w:lang w:val="zh-CN"/>
            </w:rPr>
            <w:t>，</w:t>
          </w:r>
          <w:r>
            <w:rPr>
              <w:rFonts w:hint="eastAsia" w:ascii="方正小标宋简体" w:eastAsia="方正小标宋简体" w:cs="仿宋" w:hAnsiTheme="minorEastAsia"/>
              <w:spacing w:val="-12"/>
              <w:szCs w:val="32"/>
              <w:highlight w:val="none"/>
            </w:rPr>
            <w:t>强力支撑双</w:t>
          </w:r>
          <w:r>
            <w:rPr>
              <w:rFonts w:hint="eastAsia" w:ascii="方正小标宋简体" w:eastAsia="方正小标宋简体" w:cs="仿宋" w:hAnsiTheme="minorEastAsia"/>
              <w:spacing w:val="-12"/>
              <w:szCs w:val="32"/>
              <w:highlight w:val="none"/>
              <w:lang w:val="zh-CN"/>
            </w:rPr>
            <w:t>循环发展新格局</w:t>
          </w:r>
          <w:r>
            <w:tab/>
          </w:r>
          <w:r>
            <w:fldChar w:fldCharType="begin"/>
          </w:r>
          <w:r>
            <w:instrText xml:space="preserve"> PAGEREF _Toc30876 \h </w:instrText>
          </w:r>
          <w:r>
            <w:fldChar w:fldCharType="separate"/>
          </w:r>
          <w:r>
            <w:t>- 60 -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_Toc2563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全力构建顺畅高效的流通体系</w:t>
          </w:r>
          <w:r>
            <w:tab/>
          </w:r>
          <w:r>
            <w:fldChar w:fldCharType="begin"/>
          </w:r>
          <w:r>
            <w:instrText xml:space="preserve"> PAGEREF _Toc2563 \h </w:instrText>
          </w:r>
          <w:r>
            <w:fldChar w:fldCharType="separate"/>
          </w:r>
          <w:r>
            <w:t>- 60 -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_Toc14666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加快新型基础设施建设</w:t>
          </w:r>
          <w:r>
            <w:tab/>
          </w:r>
          <w:r>
            <w:fldChar w:fldCharType="begin"/>
          </w:r>
          <w:r>
            <w:instrText xml:space="preserve"> PAGEREF _Toc14666 \h </w:instrText>
          </w:r>
          <w:r>
            <w:fldChar w:fldCharType="separate"/>
          </w:r>
          <w:r>
            <w:t>- 62 -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_Toc23542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w:t>
          </w:r>
          <w:r>
            <w:rPr>
              <w:rFonts w:hint="eastAsia" w:ascii="黑体" w:hAnsi="黑体" w:eastAsia="黑体" w:cs="仿宋"/>
              <w:szCs w:val="32"/>
              <w:highlight w:val="none"/>
              <w:lang w:val="en-US" w:eastAsia="zh-CN"/>
            </w:rPr>
            <w:t>三</w:t>
          </w:r>
          <w:r>
            <w:rPr>
              <w:rFonts w:hint="eastAsia" w:ascii="黑体" w:hAnsi="黑体" w:eastAsia="黑体" w:cs="仿宋"/>
              <w:szCs w:val="32"/>
              <w:highlight w:val="none"/>
            </w:rPr>
            <w:t>节 完善水利基础设施建设</w:t>
          </w:r>
          <w:r>
            <w:tab/>
          </w:r>
          <w:r>
            <w:fldChar w:fldCharType="begin"/>
          </w:r>
          <w:r>
            <w:instrText xml:space="preserve"> PAGEREF _Toc23542 \h </w:instrText>
          </w:r>
          <w:r>
            <w:fldChar w:fldCharType="separate"/>
          </w:r>
          <w:r>
            <w:t>- 64 -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_Toc4507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w:t>
          </w:r>
          <w:r>
            <w:rPr>
              <w:rFonts w:hint="eastAsia" w:ascii="黑体" w:hAnsi="黑体" w:eastAsia="黑体" w:cs="仿宋"/>
              <w:szCs w:val="32"/>
              <w:highlight w:val="none"/>
              <w:lang w:val="en-US" w:eastAsia="zh-CN"/>
            </w:rPr>
            <w:t>四</w:t>
          </w:r>
          <w:r>
            <w:rPr>
              <w:rFonts w:hint="eastAsia" w:ascii="黑体" w:hAnsi="黑体" w:eastAsia="黑体" w:cs="仿宋"/>
              <w:szCs w:val="32"/>
              <w:highlight w:val="none"/>
            </w:rPr>
            <w:t>节 建设现代能源保障体系</w:t>
          </w:r>
          <w:r>
            <w:tab/>
          </w:r>
          <w:r>
            <w:fldChar w:fldCharType="begin"/>
          </w:r>
          <w:r>
            <w:instrText xml:space="preserve"> PAGEREF _Toc4507 \h </w:instrText>
          </w:r>
          <w:r>
            <w:fldChar w:fldCharType="separate"/>
          </w:r>
          <w:r>
            <w:t>- 66 -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_Toc18974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第七章 突出全面深化改革，扩大高水平对外开放</w:t>
          </w:r>
          <w:r>
            <w:tab/>
          </w:r>
          <w:r>
            <w:fldChar w:fldCharType="begin"/>
          </w:r>
          <w:r>
            <w:instrText xml:space="preserve"> PAGEREF _Toc18974 \h </w:instrText>
          </w:r>
          <w:r>
            <w:fldChar w:fldCharType="separate"/>
          </w:r>
          <w:r>
            <w:t>- 67 -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_Toc15597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全面深化经济领域改革</w:t>
          </w:r>
          <w:r>
            <w:tab/>
          </w:r>
          <w:r>
            <w:fldChar w:fldCharType="begin"/>
          </w:r>
          <w:r>
            <w:instrText xml:space="preserve"> PAGEREF _Toc15597 \h </w:instrText>
          </w:r>
          <w:r>
            <w:fldChar w:fldCharType="separate"/>
          </w:r>
          <w:r>
            <w:t>- 67 -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_Toc21863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全面发挥市场在资源配置决定作用</w:t>
          </w:r>
          <w:r>
            <w:tab/>
          </w:r>
          <w:r>
            <w:fldChar w:fldCharType="begin"/>
          </w:r>
          <w:r>
            <w:instrText xml:space="preserve"> PAGEREF _Toc21863 \h </w:instrText>
          </w:r>
          <w:r>
            <w:fldChar w:fldCharType="separate"/>
          </w:r>
          <w:r>
            <w:t>- 69 -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_Toc10103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lang w:val="en-US" w:eastAsia="zh-CN"/>
            </w:rPr>
            <w:t xml:space="preserve">第三节 </w:t>
          </w:r>
          <w:r>
            <w:rPr>
              <w:rFonts w:hint="eastAsia" w:ascii="黑体" w:hAnsi="黑体" w:eastAsia="黑体" w:cs="仿宋"/>
              <w:szCs w:val="32"/>
              <w:highlight w:val="none"/>
            </w:rPr>
            <w:t>全面加快转变政府职能</w:t>
          </w:r>
          <w:r>
            <w:tab/>
          </w:r>
          <w:r>
            <w:fldChar w:fldCharType="begin"/>
          </w:r>
          <w:r>
            <w:instrText xml:space="preserve"> PAGEREF _Toc10103 \h </w:instrText>
          </w:r>
          <w:r>
            <w:fldChar w:fldCharType="separate"/>
          </w:r>
          <w:r>
            <w:t>- 69 -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_Toc21563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坚持高质量招商引资打造对外开放新高地</w:t>
          </w:r>
          <w:r>
            <w:tab/>
          </w:r>
          <w:r>
            <w:fldChar w:fldCharType="begin"/>
          </w:r>
          <w:r>
            <w:instrText xml:space="preserve"> PAGEREF _Toc21563 \h </w:instrText>
          </w:r>
          <w:r>
            <w:fldChar w:fldCharType="separate"/>
          </w:r>
          <w:r>
            <w:t>- 72 -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_Toc17602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第五节 积极主动参与“一带一路”建设对外开放</w:t>
          </w:r>
          <w:r>
            <w:tab/>
          </w:r>
          <w:r>
            <w:fldChar w:fldCharType="begin"/>
          </w:r>
          <w:r>
            <w:instrText xml:space="preserve"> PAGEREF _Toc17602 \h </w:instrText>
          </w:r>
          <w:r>
            <w:fldChar w:fldCharType="separate"/>
          </w:r>
          <w:r>
            <w:t>- 72 -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_Toc12196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lang w:val="zh-CN"/>
            </w:rPr>
            <w:t>第</w:t>
          </w:r>
          <w:r>
            <w:rPr>
              <w:rFonts w:hint="eastAsia" w:ascii="方正小标宋简体" w:eastAsia="方正小标宋简体" w:cs="仿宋" w:hAnsiTheme="minorEastAsia"/>
              <w:spacing w:val="-12"/>
              <w:szCs w:val="32"/>
              <w:highlight w:val="none"/>
            </w:rPr>
            <w:t>八</w:t>
          </w:r>
          <w:r>
            <w:rPr>
              <w:rFonts w:hint="eastAsia" w:ascii="方正小标宋简体" w:eastAsia="方正小标宋简体" w:cs="仿宋" w:hAnsiTheme="minorEastAsia"/>
              <w:spacing w:val="-12"/>
              <w:szCs w:val="32"/>
              <w:highlight w:val="none"/>
              <w:lang w:val="zh-CN"/>
            </w:rPr>
            <w:t>章 加大农业农村发展力度，全面推进乡村振兴</w:t>
          </w:r>
          <w:r>
            <w:tab/>
          </w:r>
          <w:r>
            <w:fldChar w:fldCharType="begin"/>
          </w:r>
          <w:r>
            <w:instrText xml:space="preserve"> PAGEREF _Toc12196 \h </w:instrText>
          </w:r>
          <w:r>
            <w:fldChar w:fldCharType="separate"/>
          </w:r>
          <w:r>
            <w:t>- 73 -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_Toc5838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实施乡村建设行动</w:t>
          </w:r>
          <w:r>
            <w:tab/>
          </w:r>
          <w:r>
            <w:fldChar w:fldCharType="begin"/>
          </w:r>
          <w:r>
            <w:instrText xml:space="preserve"> PAGEREF _Toc5838 \h </w:instrText>
          </w:r>
          <w:r>
            <w:fldChar w:fldCharType="separate"/>
          </w:r>
          <w:r>
            <w:t>- 73 -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_Toc4688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促进脱贫攻坚与乡村振兴有机衔接</w:t>
          </w:r>
          <w:r>
            <w:tab/>
          </w:r>
          <w:r>
            <w:fldChar w:fldCharType="begin"/>
          </w:r>
          <w:r>
            <w:instrText xml:space="preserve"> PAGEREF _Toc4688 \h </w:instrText>
          </w:r>
          <w:r>
            <w:fldChar w:fldCharType="separate"/>
          </w:r>
          <w:r>
            <w:t>- 76 -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_Toc21364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深化农村综合改革</w:t>
          </w:r>
          <w:r>
            <w:tab/>
          </w:r>
          <w:r>
            <w:fldChar w:fldCharType="begin"/>
          </w:r>
          <w:r>
            <w:instrText xml:space="preserve"> PAGEREF _Toc21364 \h </w:instrText>
          </w:r>
          <w:r>
            <w:fldChar w:fldCharType="separate"/>
          </w:r>
          <w:r>
            <w:t>- 78 -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_Toc24825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推动城乡融合发展，补齐农村公共服务短板</w:t>
          </w:r>
          <w:r>
            <w:tab/>
          </w:r>
          <w:r>
            <w:fldChar w:fldCharType="begin"/>
          </w:r>
          <w:r>
            <w:instrText xml:space="preserve"> PAGEREF _Toc24825 \h </w:instrText>
          </w:r>
          <w:r>
            <w:fldChar w:fldCharType="separate"/>
          </w:r>
          <w:r>
            <w:t>- 80 -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_Toc16838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第五节 打造都市型现代精品农业</w:t>
          </w:r>
          <w:r>
            <w:tab/>
          </w:r>
          <w:r>
            <w:fldChar w:fldCharType="begin"/>
          </w:r>
          <w:r>
            <w:instrText xml:space="preserve"> PAGEREF _Toc16838 \h </w:instrText>
          </w:r>
          <w:r>
            <w:fldChar w:fldCharType="separate"/>
          </w:r>
          <w:r>
            <w:t>- 83 -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_Toc20155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第九章 统筹推进区域协调发展</w:t>
          </w:r>
          <w:r>
            <w:rPr>
              <w:rFonts w:hint="eastAsia" w:ascii="方正小标宋简体" w:eastAsia="方正小标宋简体" w:cs="仿宋" w:hAnsiTheme="minorEastAsia"/>
              <w:spacing w:val="-12"/>
              <w:szCs w:val="32"/>
              <w:highlight w:val="none"/>
              <w:lang w:val="zh-CN"/>
            </w:rPr>
            <w:t>，提升城市发展能级</w:t>
          </w:r>
          <w:r>
            <w:tab/>
          </w:r>
          <w:r>
            <w:fldChar w:fldCharType="begin"/>
          </w:r>
          <w:r>
            <w:instrText xml:space="preserve"> PAGEREF _Toc20155 \h </w:instrText>
          </w:r>
          <w:r>
            <w:fldChar w:fldCharType="separate"/>
          </w:r>
          <w:r>
            <w:t>- 89 -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_Toc30586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构建“一核两区两带一廊”市域发展格局</w:t>
          </w:r>
          <w:r>
            <w:tab/>
          </w:r>
          <w:r>
            <w:fldChar w:fldCharType="begin"/>
          </w:r>
          <w:r>
            <w:instrText xml:space="preserve"> PAGEREF _Toc30586 \h </w:instrText>
          </w:r>
          <w:r>
            <w:fldChar w:fldCharType="separate"/>
          </w:r>
          <w:r>
            <w:t>- 89 -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_Toc13656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加快老区振兴发展</w:t>
          </w:r>
          <w:r>
            <w:tab/>
          </w:r>
          <w:r>
            <w:fldChar w:fldCharType="begin"/>
          </w:r>
          <w:r>
            <w:instrText xml:space="preserve"> PAGEREF _Toc13656 \h </w:instrText>
          </w:r>
          <w:r>
            <w:fldChar w:fldCharType="separate"/>
          </w:r>
          <w:r>
            <w:t>- 93 -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_Toc7842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全面提升中心城区发展能级</w:t>
          </w:r>
          <w:r>
            <w:tab/>
          </w:r>
          <w:r>
            <w:fldChar w:fldCharType="begin"/>
          </w:r>
          <w:r>
            <w:instrText xml:space="preserve"> PAGEREF _Toc7842 \h </w:instrText>
          </w:r>
          <w:r>
            <w:fldChar w:fldCharType="separate"/>
          </w:r>
          <w:r>
            <w:t>- 93 -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_Toc22662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推动县域高质量发展</w:t>
          </w:r>
          <w:r>
            <w:tab/>
          </w:r>
          <w:r>
            <w:fldChar w:fldCharType="begin"/>
          </w:r>
          <w:r>
            <w:instrText xml:space="preserve"> PAGEREF _Toc22662 \h </w:instrText>
          </w:r>
          <w:r>
            <w:fldChar w:fldCharType="separate"/>
          </w:r>
          <w:r>
            <w:t>- 95 -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_Toc28229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 xml:space="preserve">第五节 </w:t>
          </w:r>
          <w:r>
            <w:rPr>
              <w:rFonts w:hint="eastAsia" w:ascii="黑体" w:hAnsi="黑体" w:eastAsia="黑体" w:cs="仿宋"/>
              <w:szCs w:val="32"/>
              <w:highlight w:val="none"/>
              <w:lang w:val="zh-CN"/>
            </w:rPr>
            <w:t>全面推进以人为核心的新型城镇化</w:t>
          </w:r>
          <w:r>
            <w:tab/>
          </w:r>
          <w:r>
            <w:fldChar w:fldCharType="begin"/>
          </w:r>
          <w:r>
            <w:instrText xml:space="preserve"> PAGEREF _Toc28229 \h </w:instrText>
          </w:r>
          <w:r>
            <w:fldChar w:fldCharType="separate"/>
          </w:r>
          <w:r>
            <w:t>- 103 -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_Toc13491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第十章 夯实文化事业和文化产业基础，不断满足人民文化需求</w:t>
          </w:r>
          <w:r>
            <w:tab/>
          </w:r>
          <w:r>
            <w:fldChar w:fldCharType="begin"/>
          </w:r>
          <w:r>
            <w:instrText xml:space="preserve"> PAGEREF _Toc13491 \h </w:instrText>
          </w:r>
          <w:r>
            <w:fldChar w:fldCharType="separate"/>
          </w:r>
          <w:r>
            <w:t>- 104 -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_Toc5267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全面加强意识形态工作</w:t>
          </w:r>
          <w:r>
            <w:tab/>
          </w:r>
          <w:r>
            <w:fldChar w:fldCharType="begin"/>
          </w:r>
          <w:r>
            <w:instrText xml:space="preserve"> PAGEREF _Toc5267 \h </w:instrText>
          </w:r>
          <w:r>
            <w:fldChar w:fldCharType="separate"/>
          </w:r>
          <w:r>
            <w:t>- 104 -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_Toc15592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加快提高社会文明程度</w:t>
          </w:r>
          <w:r>
            <w:tab/>
          </w:r>
          <w:r>
            <w:fldChar w:fldCharType="begin"/>
          </w:r>
          <w:r>
            <w:instrText xml:space="preserve"> PAGEREF _Toc15592 \h </w:instrText>
          </w:r>
          <w:r>
            <w:fldChar w:fldCharType="separate"/>
          </w:r>
          <w:r>
            <w:t>- 105 -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_Toc1982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深入挖掘和保护红色文化</w:t>
          </w:r>
          <w:r>
            <w:tab/>
          </w:r>
          <w:r>
            <w:fldChar w:fldCharType="begin"/>
          </w:r>
          <w:r>
            <w:instrText xml:space="preserve"> PAGEREF _Toc1982 \h </w:instrText>
          </w:r>
          <w:r>
            <w:fldChar w:fldCharType="separate"/>
          </w:r>
          <w:r>
            <w:t>- 106 -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_Toc18602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传承优秀传统文化</w:t>
          </w:r>
          <w:r>
            <w:tab/>
          </w:r>
          <w:r>
            <w:fldChar w:fldCharType="begin"/>
          </w:r>
          <w:r>
            <w:instrText xml:space="preserve"> PAGEREF _Toc18602 \h </w:instrText>
          </w:r>
          <w:r>
            <w:fldChar w:fldCharType="separate"/>
          </w:r>
          <w:r>
            <w:t>- 108 -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_Toc6864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第五节 提升公共文化服务水平</w:t>
          </w:r>
          <w:r>
            <w:tab/>
          </w:r>
          <w:r>
            <w:fldChar w:fldCharType="begin"/>
          </w:r>
          <w:r>
            <w:instrText xml:space="preserve"> PAGEREF _Toc6864 \h </w:instrText>
          </w:r>
          <w:r>
            <w:fldChar w:fldCharType="separate"/>
          </w:r>
          <w:r>
            <w:t>- 108 -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_Toc14863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第六节 发展特色文化产业</w:t>
          </w:r>
          <w:r>
            <w:tab/>
          </w:r>
          <w:r>
            <w:fldChar w:fldCharType="begin"/>
          </w:r>
          <w:r>
            <w:instrText xml:space="preserve"> PAGEREF _Toc14863 \h </w:instrText>
          </w:r>
          <w:r>
            <w:fldChar w:fldCharType="separate"/>
          </w:r>
          <w:r>
            <w:t>- 110 -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_Toc24047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第十一章 扎实推进生态文明建设，走好绿色发展之路</w:t>
          </w:r>
          <w:r>
            <w:tab/>
          </w:r>
          <w:r>
            <w:fldChar w:fldCharType="begin"/>
          </w:r>
          <w:r>
            <w:instrText xml:space="preserve"> PAGEREF _Toc24047 \h </w:instrText>
          </w:r>
          <w:r>
            <w:fldChar w:fldCharType="separate"/>
          </w:r>
          <w:r>
            <w:t>- 111 -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_Toc25958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加快推动绿色低碳循环发展</w:t>
          </w:r>
          <w:r>
            <w:tab/>
          </w:r>
          <w:r>
            <w:fldChar w:fldCharType="begin"/>
          </w:r>
          <w:r>
            <w:instrText xml:space="preserve"> PAGEREF _Toc25958 \h </w:instrText>
          </w:r>
          <w:r>
            <w:fldChar w:fldCharType="separate"/>
          </w:r>
          <w:r>
            <w:t>- 111 -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_Toc19944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全面强化生态环境治理</w:t>
          </w:r>
          <w:r>
            <w:tab/>
          </w:r>
          <w:r>
            <w:fldChar w:fldCharType="begin"/>
          </w:r>
          <w:r>
            <w:instrText xml:space="preserve"> PAGEREF _Toc19944 \h </w:instrText>
          </w:r>
          <w:r>
            <w:fldChar w:fldCharType="separate"/>
          </w:r>
          <w:r>
            <w:t>- 112 -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_Toc20252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构建生态环境保护体系，</w:t>
          </w:r>
          <w:r>
            <w:rPr>
              <w:rFonts w:hint="eastAsia" w:ascii="黑体" w:hAnsi="黑体" w:eastAsia="黑体" w:cs="仿宋"/>
              <w:szCs w:val="32"/>
              <w:highlight w:val="none"/>
              <w:lang w:val="zh-CN"/>
            </w:rPr>
            <w:t>防范重大生态环境风险</w:t>
          </w:r>
          <w:r>
            <w:tab/>
          </w:r>
          <w:r>
            <w:fldChar w:fldCharType="begin"/>
          </w:r>
          <w:r>
            <w:instrText xml:space="preserve"> PAGEREF _Toc20252 \h </w:instrText>
          </w:r>
          <w:r>
            <w:fldChar w:fldCharType="separate"/>
          </w:r>
          <w:r>
            <w:t>- 114 -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_Toc13568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推动形成区域协同共治机制</w:t>
          </w:r>
          <w:r>
            <w:tab/>
          </w:r>
          <w:r>
            <w:fldChar w:fldCharType="begin"/>
          </w:r>
          <w:r>
            <w:instrText xml:space="preserve"> PAGEREF _Toc13568 \h </w:instrText>
          </w:r>
          <w:r>
            <w:fldChar w:fldCharType="separate"/>
          </w:r>
          <w:r>
            <w:t>- 114 -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_Toc14789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第五节 全面提高资源利用效率</w:t>
          </w:r>
          <w:r>
            <w:tab/>
          </w:r>
          <w:r>
            <w:fldChar w:fldCharType="begin"/>
          </w:r>
          <w:r>
            <w:instrText xml:space="preserve"> PAGEREF _Toc14789 \h </w:instrText>
          </w:r>
          <w:r>
            <w:fldChar w:fldCharType="separate"/>
          </w:r>
          <w:r>
            <w:t>- 116 -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_Toc28503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第十二章 扎实推进民生事业发展，提高社会建设水平</w:t>
          </w:r>
          <w:r>
            <w:tab/>
          </w:r>
          <w:r>
            <w:fldChar w:fldCharType="begin"/>
          </w:r>
          <w:r>
            <w:instrText xml:space="preserve"> PAGEREF _Toc28503 \h </w:instrText>
          </w:r>
          <w:r>
            <w:fldChar w:fldCharType="separate"/>
          </w:r>
          <w:r>
            <w:t>- 116 -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_Toc3440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努力提高人民收入水平和充分保障居民就业</w:t>
          </w:r>
          <w:r>
            <w:tab/>
          </w:r>
          <w:r>
            <w:fldChar w:fldCharType="begin"/>
          </w:r>
          <w:r>
            <w:instrText xml:space="preserve"> PAGEREF _Toc3440 \h </w:instrText>
          </w:r>
          <w:r>
            <w:fldChar w:fldCharType="separate"/>
          </w:r>
          <w:r>
            <w:t>- 117 -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_Toc5990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推动教育现代化发展</w:t>
          </w:r>
          <w:r>
            <w:tab/>
          </w:r>
          <w:r>
            <w:fldChar w:fldCharType="begin"/>
          </w:r>
          <w:r>
            <w:instrText xml:space="preserve"> PAGEREF _Toc5990 \h </w:instrText>
          </w:r>
          <w:r>
            <w:fldChar w:fldCharType="separate"/>
          </w:r>
          <w:r>
            <w:t>- 118 -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_Toc10935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全面推进健康陆丰建设</w:t>
          </w:r>
          <w:r>
            <w:tab/>
          </w:r>
          <w:r>
            <w:fldChar w:fldCharType="begin"/>
          </w:r>
          <w:r>
            <w:instrText xml:space="preserve"> PAGEREF _Toc10935 \h </w:instrText>
          </w:r>
          <w:r>
            <w:fldChar w:fldCharType="separate"/>
          </w:r>
          <w:r>
            <w:t>- 121 -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_Toc856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完善多层次社会保障体系</w:t>
          </w:r>
          <w:r>
            <w:tab/>
          </w:r>
          <w:r>
            <w:fldChar w:fldCharType="begin"/>
          </w:r>
          <w:r>
            <w:instrText xml:space="preserve"> PAGEREF _Toc856 \h </w:instrText>
          </w:r>
          <w:r>
            <w:fldChar w:fldCharType="separate"/>
          </w:r>
          <w:r>
            <w:t>- 123 -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_Toc3878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第五节 实施积极应对人口老龄化国家战略</w:t>
          </w:r>
          <w:r>
            <w:tab/>
          </w:r>
          <w:r>
            <w:fldChar w:fldCharType="begin"/>
          </w:r>
          <w:r>
            <w:instrText xml:space="preserve"> PAGEREF _Toc3878 \h </w:instrText>
          </w:r>
          <w:r>
            <w:fldChar w:fldCharType="separate"/>
          </w:r>
          <w:r>
            <w:t>- 124 -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_Toc599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第十三章 答好发展和安全两张卷，建设更高水平平安陆丰</w:t>
          </w:r>
          <w:r>
            <w:tab/>
          </w:r>
          <w:r>
            <w:fldChar w:fldCharType="begin"/>
          </w:r>
          <w:r>
            <w:instrText xml:space="preserve"> PAGEREF _Toc599 \h </w:instrText>
          </w:r>
          <w:r>
            <w:fldChar w:fldCharType="separate"/>
          </w:r>
          <w:r>
            <w:t>- 128 -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_Toc7656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加强国家安全能力建设</w:t>
          </w:r>
          <w:r>
            <w:tab/>
          </w:r>
          <w:r>
            <w:fldChar w:fldCharType="begin"/>
          </w:r>
          <w:r>
            <w:instrText xml:space="preserve"> PAGEREF _Toc7656 \h </w:instrText>
          </w:r>
          <w:r>
            <w:fldChar w:fldCharType="separate"/>
          </w:r>
          <w:r>
            <w:t>- 128 -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_Toc251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积极防范化解重大风险</w:t>
          </w:r>
          <w:r>
            <w:tab/>
          </w:r>
          <w:r>
            <w:fldChar w:fldCharType="begin"/>
          </w:r>
          <w:r>
            <w:instrText xml:space="preserve"> PAGEREF _Toc251 \h </w:instrText>
          </w:r>
          <w:r>
            <w:fldChar w:fldCharType="separate"/>
          </w:r>
          <w:r>
            <w:t>- 130 -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_Toc14048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着力健全公共安全体系</w:t>
          </w:r>
          <w:r>
            <w:tab/>
          </w:r>
          <w:r>
            <w:fldChar w:fldCharType="begin"/>
          </w:r>
          <w:r>
            <w:instrText xml:space="preserve"> PAGEREF _Toc14048 \h </w:instrText>
          </w:r>
          <w:r>
            <w:fldChar w:fldCharType="separate"/>
          </w:r>
          <w:r>
            <w:t>- 131 -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_Toc13953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提高应急管理能力</w:t>
          </w:r>
          <w:r>
            <w:tab/>
          </w:r>
          <w:r>
            <w:fldChar w:fldCharType="begin"/>
          </w:r>
          <w:r>
            <w:instrText xml:space="preserve"> PAGEREF _Toc13953 \h </w:instrText>
          </w:r>
          <w:r>
            <w:fldChar w:fldCharType="separate"/>
          </w:r>
          <w:r>
            <w:t>- 133 -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_Toc22431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第五节 维护社会稳定和安全</w:t>
          </w:r>
          <w:r>
            <w:tab/>
          </w:r>
          <w:r>
            <w:fldChar w:fldCharType="begin"/>
          </w:r>
          <w:r>
            <w:instrText xml:space="preserve"> PAGEREF _Toc22431 \h </w:instrText>
          </w:r>
          <w:r>
            <w:fldChar w:fldCharType="separate"/>
          </w:r>
          <w:r>
            <w:t>- 135 -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0"/>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_Toc18551 </w:instrText>
          </w:r>
          <w:r>
            <w:rPr>
              <w:rFonts w:ascii="宋体" w:hAnsi="宋体"/>
              <w:i w:val="0"/>
              <w:caps w:val="0"/>
              <w:spacing w:val="0"/>
              <w:w w:val="100"/>
              <w:szCs w:val="28"/>
              <w:highlight w:val="none"/>
            </w:rPr>
            <w:fldChar w:fldCharType="separate"/>
          </w:r>
          <w:r>
            <w:rPr>
              <w:rFonts w:hint="eastAsia" w:ascii="方正小标宋简体" w:eastAsia="方正小标宋简体" w:cs="仿宋" w:hAnsiTheme="minorEastAsia"/>
              <w:spacing w:val="-12"/>
              <w:szCs w:val="32"/>
              <w:highlight w:val="none"/>
            </w:rPr>
            <w:t xml:space="preserve">第十四章 </w:t>
          </w:r>
          <w:r>
            <w:rPr>
              <w:rFonts w:hint="eastAsia" w:ascii="方正小标宋简体" w:eastAsia="方正小标宋简体" w:cs="仿宋" w:hAnsiTheme="minorEastAsia"/>
              <w:spacing w:val="-12"/>
              <w:szCs w:val="32"/>
              <w:highlight w:val="none"/>
              <w:lang w:val="en-US" w:eastAsia="zh-CN"/>
            </w:rPr>
            <w:t>完善规划</w:t>
          </w:r>
          <w:r>
            <w:rPr>
              <w:rFonts w:hint="eastAsia" w:ascii="方正小标宋简体" w:eastAsia="方正小标宋简体" w:cs="仿宋" w:hAnsiTheme="minorEastAsia"/>
              <w:spacing w:val="-12"/>
              <w:szCs w:val="32"/>
              <w:highlight w:val="none"/>
              <w:lang w:val="zh-CN"/>
            </w:rPr>
            <w:t>实施保障</w:t>
          </w:r>
          <w:r>
            <w:rPr>
              <w:rFonts w:hint="eastAsia" w:ascii="方正小标宋简体" w:eastAsia="方正小标宋简体" w:cs="仿宋" w:hAnsiTheme="minorEastAsia"/>
              <w:spacing w:val="-12"/>
              <w:szCs w:val="32"/>
              <w:highlight w:val="none"/>
              <w:lang w:val="en-US" w:eastAsia="zh-CN"/>
            </w:rPr>
            <w:t>机制</w:t>
          </w:r>
          <w:r>
            <w:tab/>
          </w:r>
          <w:r>
            <w:fldChar w:fldCharType="begin"/>
          </w:r>
          <w:r>
            <w:instrText xml:space="preserve"> PAGEREF _Toc18551 \h </w:instrText>
          </w:r>
          <w:r>
            <w:fldChar w:fldCharType="separate"/>
          </w:r>
          <w:r>
            <w:t>- 138 -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_Toc7367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第一节 加强组织领导</w:t>
          </w:r>
          <w:r>
            <w:tab/>
          </w:r>
          <w:r>
            <w:fldChar w:fldCharType="begin"/>
          </w:r>
          <w:r>
            <w:instrText xml:space="preserve"> PAGEREF _Toc7367 \h </w:instrText>
          </w:r>
          <w:r>
            <w:fldChar w:fldCharType="separate"/>
          </w:r>
          <w:r>
            <w:t>- 138 -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_Toc28646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第二节 加强规划衔接</w:t>
          </w:r>
          <w:r>
            <w:tab/>
          </w:r>
          <w:r>
            <w:fldChar w:fldCharType="begin"/>
          </w:r>
          <w:r>
            <w:instrText xml:space="preserve"> PAGEREF _Toc28646 \h </w:instrText>
          </w:r>
          <w:r>
            <w:fldChar w:fldCharType="separate"/>
          </w:r>
          <w:r>
            <w:t>- 138 -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_Toc21441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第三节 加强实施保障</w:t>
          </w:r>
          <w:r>
            <w:tab/>
          </w:r>
          <w:r>
            <w:fldChar w:fldCharType="begin"/>
          </w:r>
          <w:r>
            <w:instrText xml:space="preserve"> PAGEREF _Toc21441 \h </w:instrText>
          </w:r>
          <w:r>
            <w:fldChar w:fldCharType="separate"/>
          </w:r>
          <w:r>
            <w:t>- 139 -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pStyle w:val="21"/>
            <w:tabs>
              <w:tab w:val="right" w:leader="dot" w:pos="8306"/>
              <w:tab w:val="clear" w:pos="8296"/>
            </w:tabs>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begin"/>
          </w:r>
          <w:r>
            <w:rPr>
              <w:rFonts w:ascii="宋体" w:hAnsi="宋体"/>
              <w:i w:val="0"/>
              <w:caps w:val="0"/>
              <w:spacing w:val="0"/>
              <w:w w:val="100"/>
              <w:szCs w:val="28"/>
              <w:highlight w:val="none"/>
            </w:rPr>
            <w:instrText xml:space="preserve"> HYPERLINK \l _Toc19661 </w:instrText>
          </w:r>
          <w:r>
            <w:rPr>
              <w:rFonts w:ascii="宋体" w:hAnsi="宋体"/>
              <w:i w:val="0"/>
              <w:caps w:val="0"/>
              <w:spacing w:val="0"/>
              <w:w w:val="100"/>
              <w:szCs w:val="28"/>
              <w:highlight w:val="none"/>
            </w:rPr>
            <w:fldChar w:fldCharType="separate"/>
          </w:r>
          <w:r>
            <w:rPr>
              <w:rFonts w:hint="eastAsia" w:ascii="黑体" w:hAnsi="黑体" w:eastAsia="黑体" w:cs="仿宋"/>
              <w:szCs w:val="32"/>
              <w:highlight w:val="none"/>
            </w:rPr>
            <w:t>第四节 加强监督考评</w:t>
          </w:r>
          <w:r>
            <w:tab/>
          </w:r>
          <w:r>
            <w:fldChar w:fldCharType="begin"/>
          </w:r>
          <w:r>
            <w:instrText xml:space="preserve"> PAGEREF _Toc19661 \h </w:instrText>
          </w:r>
          <w:r>
            <w:fldChar w:fldCharType="separate"/>
          </w:r>
          <w:r>
            <w:t>- 139 -</w:t>
          </w:r>
          <w:r>
            <w:fldChar w:fldCharType="end"/>
          </w: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p>
          <w:pPr>
            <w:snapToGrid/>
            <w:spacing w:before="0" w:beforeAutospacing="0" w:after="0" w:afterAutospacing="0" w:line="240" w:lineRule="auto"/>
            <w:jc w:val="center"/>
            <w:textAlignment w:val="baseline"/>
            <w:rPr>
              <w:rFonts w:ascii="宋体" w:hAnsi="宋体"/>
              <w:b w:val="0"/>
              <w:i w:val="0"/>
              <w:caps w:val="0"/>
              <w:color w:val="000000" w:themeColor="text1"/>
              <w:spacing w:val="0"/>
              <w:w w:val="100"/>
              <w:sz w:val="20"/>
              <w:highlight w:val="none"/>
              <w:u w:val="none" w:color="auto"/>
              <w14:textFill>
                <w14:solidFill>
                  <w14:schemeClr w14:val="tx1"/>
                </w14:solidFill>
              </w14:textFill>
            </w:rPr>
          </w:pPr>
          <w:r>
            <w:rPr>
              <w:rFonts w:ascii="宋体" w:hAnsi="宋体"/>
              <w:i w:val="0"/>
              <w:caps w:val="0"/>
              <w:color w:val="000000" w:themeColor="text1"/>
              <w:spacing w:val="0"/>
              <w:w w:val="100"/>
              <w:szCs w:val="28"/>
              <w:highlight w:val="none"/>
              <w:u w:val="none" w:color="auto"/>
              <w14:textFill>
                <w14:solidFill>
                  <w14:schemeClr w14:val="tx1"/>
                </w14:solidFill>
              </w14:textFill>
            </w:rPr>
            <w:fldChar w:fldCharType="end"/>
          </w:r>
        </w:p>
      </w:sdtContent>
    </w:sdt>
    <w:p>
      <w:pPr>
        <w:pStyle w:val="3"/>
        <w:snapToGrid/>
        <w:spacing w:before="340" w:beforeAutospacing="0" w:after="330" w:afterAutospacing="0" w:line="578" w:lineRule="auto"/>
        <w:ind w:firstLine="643" w:firstLineChars="200"/>
        <w:jc w:val="both"/>
        <w:textAlignment w:val="baseline"/>
        <w:rPr>
          <w:rFonts w:eastAsia="黑体"/>
          <w:b/>
          <w:i w:val="0"/>
          <w:caps w:val="0"/>
          <w:color w:val="000000" w:themeColor="text1"/>
          <w:spacing w:val="0"/>
          <w:w w:val="100"/>
          <w:sz w:val="32"/>
          <w:highlight w:val="none"/>
          <w:u w:val="none" w:color="auto"/>
          <w:lang w:val="zh-CN"/>
          <w14:textFill>
            <w14:solidFill>
              <w14:schemeClr w14:val="tx1"/>
            </w14:solidFill>
          </w14:textFill>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3"/>
          <w:cols w:space="425" w:num="1"/>
          <w:docGrid w:type="lines" w:linePitch="312" w:charSpace="0"/>
        </w:sectPr>
      </w:pPr>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本规划纲要根据党的十九届五中全会精神、广东省委十二届十二次全会精神和《中共</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陆丰</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市委关于制定</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陆丰</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市国民经济和社会发展第十四个五年规划的建议》编制，主要明确“十四五”时期陆丰</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经济社会发展的指导思想、基本原则、发展目标和主要任务，并对2035年远景目标进行展望，是全局性、战略性、宏观性、政策性规划，是政府履行经济调节、市场监管、社会管理、公共服务和生态环境保护职能的重要依据，是未来五年陆丰经济社会发展的宏伟蓝图和全市人民共同的行动纲领。</w:t>
      </w: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pPr>
      <w:bookmarkStart w:id="0" w:name="_Toc17056"/>
      <w:bookmarkStart w:id="1" w:name="_Toc12749"/>
      <w:bookmarkStart w:id="2" w:name="_Toc28416"/>
      <w:bookmarkStart w:id="3" w:name="_Toc24559"/>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第一章</w:t>
      </w:r>
      <w:bookmarkEnd w:id="0"/>
      <w:bookmarkEnd w:id="1"/>
      <w:bookmarkEnd w:id="2"/>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“十三五”时期发展成就和“十四五”时期发展形势</w:t>
      </w:r>
      <w:bookmarkEnd w:id="3"/>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“十三五”时期，</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始终坚定不移贯彻中央、省委和汕尾市的决策部署，落实省委“1+1+9”工作部署，围绕加快“</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奋力</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裂变发展，实现蓝色崛起”</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的目标</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全面接轨深圳、全力融入“双区”的战略思路，团结带领全市广大干部群众，沉着冷静应对错综复杂形势，坚决果断抗击新冠肺炎疫情的严重冲击，积极引领经济发展新常态，同全国全省和汕尾市一道，全面建成了小康社会，经济社会发展取得新成就。</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4" w:name="_Toc23681"/>
      <w:bookmarkStart w:id="5" w:name="_Toc30390"/>
      <w:bookmarkStart w:id="6" w:name="_Toc29530"/>
      <w:bookmarkStart w:id="7" w:name="_Toc23870"/>
      <w:r>
        <w:rPr>
          <w:rFonts w:hint="eastAsia" w:ascii="黑体" w:hAnsi="黑体" w:eastAsia="黑体" w:cs="仿宋"/>
          <w:color w:val="000000" w:themeColor="text1"/>
          <w:sz w:val="32"/>
          <w:szCs w:val="32"/>
          <w:highlight w:val="none"/>
          <w14:textFill>
            <w14:solidFill>
              <w14:schemeClr w14:val="tx1"/>
            </w14:solidFill>
          </w14:textFill>
        </w:rPr>
        <w:t xml:space="preserve">第一节 </w:t>
      </w:r>
      <w:bookmarkEnd w:id="4"/>
      <w:r>
        <w:rPr>
          <w:rFonts w:hint="eastAsia" w:ascii="黑体" w:hAnsi="黑体" w:eastAsia="黑体" w:cs="仿宋"/>
          <w:color w:val="000000" w:themeColor="text1"/>
          <w:sz w:val="32"/>
          <w:szCs w:val="32"/>
          <w:highlight w:val="none"/>
          <w14:textFill>
            <w14:solidFill>
              <w14:schemeClr w14:val="tx1"/>
            </w14:solidFill>
          </w14:textFill>
        </w:rPr>
        <w:t>“十三五”时期我市发展取得重大成就</w:t>
      </w:r>
      <w:bookmarkEnd w:id="5"/>
      <w:bookmarkEnd w:id="6"/>
      <w:bookmarkEnd w:id="7"/>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“十三五”以来，</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面对国内外复杂严峻的形势和重大疫情的多重影响，我市深入实施一系列重大发展战略和重大政策举措，积极应对各种风险挑战</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，坚持补短板强弱项，全面加快转型升级，着力改善民生，努力提高经济发展质量和效益，</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社会稳定和经济持续健康发展，为“十四五”发展奠定了坚实基础。</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bookmarkStart w:id="8" w:name="_Toc13874_WPSOffice_Level3"/>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w:t>
      </w:r>
      <w:bookmarkEnd w:id="8"/>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经济发展成效显著。</w:t>
      </w:r>
      <w:r>
        <w:rPr>
          <w:rFonts w:hint="eastAsia" w:ascii="仿宋_GB2312" w:eastAsia="仿宋_GB2312"/>
          <w:b w:val="0"/>
          <w:bCs w:val="0"/>
          <w:i w:val="0"/>
          <w:caps w:val="0"/>
          <w:color w:val="000000" w:themeColor="text1"/>
          <w:spacing w:val="0"/>
          <w:w w:val="100"/>
          <w:sz w:val="32"/>
          <w:szCs w:val="32"/>
          <w:highlight w:val="none"/>
          <w:u w:val="none" w:color="auto"/>
          <w14:textFill>
            <w14:solidFill>
              <w14:schemeClr w14:val="tx1"/>
            </w14:solidFill>
          </w14:textFill>
        </w:rPr>
        <w:t>经济总量突破3</w:t>
      </w:r>
      <w:r>
        <w:rPr>
          <w:rFonts w:hint="eastAsia" w:ascii="仿宋_GB2312" w:eastAsia="仿宋_GB2312"/>
          <w:b w:val="0"/>
          <w:bCs w:val="0"/>
          <w:i w:val="0"/>
          <w:caps w:val="0"/>
          <w:color w:val="000000" w:themeColor="text1"/>
          <w:spacing w:val="0"/>
          <w:w w:val="100"/>
          <w:sz w:val="32"/>
          <w:szCs w:val="32"/>
          <w:highlight w:val="none"/>
          <w:u w:val="none" w:color="auto"/>
          <w:lang w:val="en-US" w:eastAsia="zh-CN"/>
          <w14:textFill>
            <w14:solidFill>
              <w14:schemeClr w14:val="tx1"/>
            </w14:solidFill>
          </w14:textFill>
        </w:rPr>
        <w:t>6</w:t>
      </w:r>
      <w:r>
        <w:rPr>
          <w:rFonts w:ascii="仿宋_GB2312" w:eastAsia="仿宋_GB2312"/>
          <w:b w:val="0"/>
          <w:bCs w:val="0"/>
          <w:i w:val="0"/>
          <w:caps w:val="0"/>
          <w:color w:val="000000" w:themeColor="text1"/>
          <w:spacing w:val="0"/>
          <w:w w:val="100"/>
          <w:sz w:val="32"/>
          <w:szCs w:val="32"/>
          <w:highlight w:val="none"/>
          <w:u w:val="none" w:color="auto"/>
          <w14:textFill>
            <w14:solidFill>
              <w14:schemeClr w14:val="tx1"/>
            </w14:solidFill>
          </w14:textFill>
        </w:rPr>
        <w:t>0</w:t>
      </w:r>
      <w:r>
        <w:rPr>
          <w:rFonts w:hint="eastAsia" w:ascii="仿宋_GB2312" w:eastAsia="仿宋_GB2312"/>
          <w:b w:val="0"/>
          <w:bCs w:val="0"/>
          <w:i w:val="0"/>
          <w:caps w:val="0"/>
          <w:color w:val="000000" w:themeColor="text1"/>
          <w:spacing w:val="0"/>
          <w:w w:val="100"/>
          <w:sz w:val="32"/>
          <w:szCs w:val="32"/>
          <w:highlight w:val="none"/>
          <w:u w:val="none" w:color="auto"/>
          <w14:textFill>
            <w14:solidFill>
              <w14:schemeClr w14:val="tx1"/>
            </w14:solidFill>
          </w14:textFill>
        </w:rPr>
        <w:t>亿元大关。</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全市地区生产总值从</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2015</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年的</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218.9</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亿元增加到20</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20</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年的</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360.1</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亿元</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年均增长7.0%，</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增速高于全省平均水平。地方财政一般公共预算收入从</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2015</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年的</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5.89</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亿元上升至20</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20</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年的8.</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68</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亿元</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年均增速达8.06%</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全社会</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固定资产投资总额</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从2015年的190.25亿元增长到2020年的240.1</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亿元</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五年增幅26.2%</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。20</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20</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年，规模以上工业增加值达到</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53.07</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亿元；常住人口14</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3.61</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万人</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常住</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人口城镇化率为5</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1.65</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%。20</w:t>
      </w:r>
      <w:r>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1</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5</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年以来,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经济</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社会</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实现了跨越式发展。</w:t>
      </w:r>
    </w:p>
    <w:p>
      <w:pPr>
        <w:pStyle w:val="6"/>
        <w:snapToGrid/>
        <w:spacing w:before="0" w:beforeAutospacing="0" w:after="0" w:afterAutospacing="0" w:line="600" w:lineRule="exact"/>
        <w:ind w:firstLine="420" w:firstLineChars="200"/>
        <w:jc w:val="center"/>
        <w:textAlignment w:val="baseline"/>
        <w:rPr>
          <w:rFonts w:hint="eastAsia" w:ascii="黑体" w:hAnsi="黑体" w:eastAsia="黑体" w:cs="黑体"/>
          <w:b w:val="0"/>
          <w:i w:val="0"/>
          <w:caps w:val="0"/>
          <w:color w:val="000000" w:themeColor="text1"/>
          <w:spacing w:val="0"/>
          <w:w w:val="100"/>
          <w:sz w:val="24"/>
          <w:szCs w:val="36"/>
          <w:highlight w:val="none"/>
          <w:u w:val="none" w:color="auto"/>
          <w:lang w:val="en-US" w:eastAsia="zh-CN"/>
          <w14:textFill>
            <w14:solidFill>
              <w14:schemeClr w14:val="tx1"/>
            </w14:solidFill>
          </w14:textFill>
        </w:rPr>
      </w:pPr>
      <w:r>
        <w:rPr>
          <w:color w:val="000000" w:themeColor="text1"/>
          <w:highlight w:val="none"/>
          <w14:textFill>
            <w14:solidFill>
              <w14:schemeClr w14:val="tx1"/>
            </w14:solidFill>
          </w14:textFill>
        </w:rPr>
        <w:drawing>
          <wp:anchor distT="0" distB="0" distL="114300" distR="114300" simplePos="0" relativeHeight="251663360" behindDoc="0" locked="0" layoutInCell="1" allowOverlap="1">
            <wp:simplePos x="0" y="0"/>
            <wp:positionH relativeFrom="column">
              <wp:posOffset>254000</wp:posOffset>
            </wp:positionH>
            <wp:positionV relativeFrom="paragraph">
              <wp:posOffset>257175</wp:posOffset>
            </wp:positionV>
            <wp:extent cx="4893310" cy="3098800"/>
            <wp:effectExtent l="4445" t="4445" r="17145" b="20955"/>
            <wp:wrapTopAndBottom/>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黑体" w:hAnsi="黑体" w:eastAsia="黑体" w:cs="黑体"/>
          <w:b w:val="0"/>
          <w:i w:val="0"/>
          <w:caps w:val="0"/>
          <w:color w:val="000000" w:themeColor="text1"/>
          <w:spacing w:val="0"/>
          <w:w w:val="100"/>
          <w:sz w:val="24"/>
          <w:szCs w:val="36"/>
          <w:highlight w:val="none"/>
          <w:u w:val="none" w:color="auto"/>
          <w14:textFill>
            <w14:solidFill>
              <w14:schemeClr w14:val="tx1"/>
            </w14:solidFill>
          </w14:textFill>
        </w:rPr>
        <w:t>图1-</w:t>
      </w:r>
      <w:r>
        <w:rPr>
          <w:rFonts w:hint="eastAsia" w:ascii="黑体" w:hAnsi="黑体" w:eastAsia="黑体" w:cs="黑体"/>
          <w:b w:val="0"/>
          <w:i w:val="0"/>
          <w:caps w:val="0"/>
          <w:color w:val="000000" w:themeColor="text1"/>
          <w:spacing w:val="0"/>
          <w:w w:val="100"/>
          <w:sz w:val="20"/>
          <w:szCs w:val="36"/>
          <w:highlight w:val="none"/>
          <w:u w:val="none" w:color="auto"/>
          <w14:textFill>
            <w14:solidFill>
              <w14:schemeClr w14:val="tx1"/>
            </w14:solidFill>
          </w14:textFill>
        </w:rPr>
        <w:fldChar w:fldCharType="begin"/>
      </w:r>
      <w:r>
        <w:rPr>
          <w:rFonts w:hint="eastAsia" w:ascii="黑体" w:hAnsi="黑体" w:eastAsia="黑体" w:cs="黑体"/>
          <w:b w:val="0"/>
          <w:i w:val="0"/>
          <w:caps w:val="0"/>
          <w:color w:val="000000" w:themeColor="text1"/>
          <w:spacing w:val="0"/>
          <w:w w:val="100"/>
          <w:sz w:val="20"/>
          <w:szCs w:val="36"/>
          <w:highlight w:val="none"/>
          <w:u w:val="none" w:color="auto"/>
          <w14:textFill>
            <w14:solidFill>
              <w14:schemeClr w14:val="tx1"/>
            </w14:solidFill>
          </w14:textFill>
        </w:rPr>
        <w:instrText xml:space="preserve"> SEQ 图1- \* ARABIC </w:instrText>
      </w:r>
      <w:r>
        <w:rPr>
          <w:rFonts w:hint="eastAsia" w:ascii="黑体" w:hAnsi="黑体" w:eastAsia="黑体" w:cs="黑体"/>
          <w:b w:val="0"/>
          <w:i w:val="0"/>
          <w:caps w:val="0"/>
          <w:color w:val="000000" w:themeColor="text1"/>
          <w:spacing w:val="0"/>
          <w:w w:val="100"/>
          <w:sz w:val="20"/>
          <w:szCs w:val="36"/>
          <w:highlight w:val="none"/>
          <w:u w:val="none" w:color="auto"/>
          <w14:textFill>
            <w14:solidFill>
              <w14:schemeClr w14:val="tx1"/>
            </w14:solidFill>
          </w14:textFill>
        </w:rPr>
        <w:fldChar w:fldCharType="separate"/>
      </w:r>
      <w:r>
        <w:rPr>
          <w:rFonts w:hint="eastAsia" w:ascii="黑体" w:hAnsi="黑体" w:eastAsia="黑体" w:cs="黑体"/>
          <w:b w:val="0"/>
          <w:i w:val="0"/>
          <w:caps w:val="0"/>
          <w:color w:val="000000" w:themeColor="text1"/>
          <w:spacing w:val="0"/>
          <w:w w:val="100"/>
          <w:sz w:val="24"/>
          <w:szCs w:val="36"/>
          <w:highlight w:val="none"/>
          <w:u w:val="none" w:color="auto"/>
          <w14:textFill>
            <w14:solidFill>
              <w14:schemeClr w14:val="tx1"/>
            </w14:solidFill>
          </w14:textFill>
        </w:rPr>
        <w:t>1</w:t>
      </w:r>
      <w:r>
        <w:rPr>
          <w:rFonts w:hint="eastAsia" w:ascii="黑体" w:hAnsi="黑体" w:eastAsia="黑体" w:cs="黑体"/>
          <w:b w:val="0"/>
          <w:i w:val="0"/>
          <w:caps w:val="0"/>
          <w:color w:val="000000" w:themeColor="text1"/>
          <w:spacing w:val="0"/>
          <w:w w:val="100"/>
          <w:sz w:val="20"/>
          <w:szCs w:val="36"/>
          <w:highlight w:val="none"/>
          <w:u w:val="none" w:color="auto"/>
          <w14:textFill>
            <w14:solidFill>
              <w14:schemeClr w14:val="tx1"/>
            </w14:solidFill>
          </w14:textFill>
        </w:rPr>
        <w:fldChar w:fldCharType="end"/>
      </w:r>
      <w:r>
        <w:rPr>
          <w:rFonts w:hint="eastAsia" w:ascii="黑体" w:hAnsi="黑体" w:eastAsia="黑体" w:cs="黑体"/>
          <w:b w:val="0"/>
          <w:i w:val="0"/>
          <w:caps w:val="0"/>
          <w:color w:val="000000" w:themeColor="text1"/>
          <w:spacing w:val="0"/>
          <w:w w:val="100"/>
          <w:sz w:val="24"/>
          <w:szCs w:val="36"/>
          <w:highlight w:val="none"/>
          <w:u w:val="none" w:color="auto"/>
          <w14:textFill>
            <w14:solidFill>
              <w14:schemeClr w14:val="tx1"/>
            </w14:solidFill>
          </w14:textFill>
        </w:rPr>
        <w:t xml:space="preserve"> 201</w:t>
      </w:r>
      <w:r>
        <w:rPr>
          <w:rFonts w:hint="eastAsia" w:ascii="黑体" w:hAnsi="黑体" w:eastAsia="黑体" w:cs="黑体"/>
          <w:b w:val="0"/>
          <w:i w:val="0"/>
          <w:caps w:val="0"/>
          <w:color w:val="000000" w:themeColor="text1"/>
          <w:spacing w:val="0"/>
          <w:w w:val="100"/>
          <w:sz w:val="24"/>
          <w:szCs w:val="36"/>
          <w:highlight w:val="none"/>
          <w:u w:val="none" w:color="auto"/>
          <w:lang w:val="en-US" w:eastAsia="zh-CN"/>
          <w14:textFill>
            <w14:solidFill>
              <w14:schemeClr w14:val="tx1"/>
            </w14:solidFill>
          </w14:textFill>
        </w:rPr>
        <w:t>5</w:t>
      </w:r>
      <w:r>
        <w:rPr>
          <w:rFonts w:hint="eastAsia" w:ascii="黑体" w:hAnsi="黑体" w:eastAsia="黑体" w:cs="黑体"/>
          <w:b w:val="0"/>
          <w:i w:val="0"/>
          <w:caps w:val="0"/>
          <w:color w:val="000000" w:themeColor="text1"/>
          <w:spacing w:val="0"/>
          <w:w w:val="100"/>
          <w:sz w:val="24"/>
          <w:szCs w:val="36"/>
          <w:highlight w:val="none"/>
          <w:u w:val="none" w:color="auto"/>
          <w14:textFill>
            <w14:solidFill>
              <w14:schemeClr w14:val="tx1"/>
            </w14:solidFill>
          </w14:textFill>
        </w:rPr>
        <w:t>-20</w:t>
      </w:r>
      <w:r>
        <w:rPr>
          <w:rFonts w:hint="eastAsia" w:ascii="黑体" w:hAnsi="黑体" w:eastAsia="黑体" w:cs="黑体"/>
          <w:b w:val="0"/>
          <w:i w:val="0"/>
          <w:caps w:val="0"/>
          <w:color w:val="000000" w:themeColor="text1"/>
          <w:spacing w:val="0"/>
          <w:w w:val="100"/>
          <w:sz w:val="24"/>
          <w:szCs w:val="36"/>
          <w:highlight w:val="none"/>
          <w:u w:val="none" w:color="auto"/>
          <w:lang w:val="en-US" w:eastAsia="zh-CN"/>
          <w14:textFill>
            <w14:solidFill>
              <w14:schemeClr w14:val="tx1"/>
            </w14:solidFill>
          </w14:textFill>
        </w:rPr>
        <w:t>20</w:t>
      </w:r>
      <w:r>
        <w:rPr>
          <w:rFonts w:hint="eastAsia" w:ascii="黑体" w:hAnsi="黑体" w:eastAsia="黑体" w:cs="黑体"/>
          <w:b w:val="0"/>
          <w:i w:val="0"/>
          <w:caps w:val="0"/>
          <w:color w:val="000000" w:themeColor="text1"/>
          <w:spacing w:val="0"/>
          <w:w w:val="100"/>
          <w:sz w:val="24"/>
          <w:szCs w:val="36"/>
          <w:highlight w:val="none"/>
          <w:u w:val="none" w:color="auto"/>
          <w14:textFill>
            <w14:solidFill>
              <w14:schemeClr w14:val="tx1"/>
            </w14:solidFill>
          </w14:textFill>
        </w:rPr>
        <w:t>年陆丰GDP规模</w:t>
      </w:r>
      <w:r>
        <w:rPr>
          <w:rFonts w:hint="eastAsia" w:ascii="黑体" w:hAnsi="黑体" w:eastAsia="黑体" w:cs="黑体"/>
          <w:b w:val="0"/>
          <w:i w:val="0"/>
          <w:caps w:val="0"/>
          <w:color w:val="000000" w:themeColor="text1"/>
          <w:spacing w:val="0"/>
          <w:w w:val="100"/>
          <w:sz w:val="24"/>
          <w:szCs w:val="36"/>
          <w:highlight w:val="none"/>
          <w:u w:val="none" w:color="auto"/>
          <w:lang w:val="en-US" w:eastAsia="zh-CN"/>
          <w14:textFill>
            <w14:solidFill>
              <w14:schemeClr w14:val="tx1"/>
            </w14:solidFill>
          </w14:textFill>
        </w:rPr>
        <w:t>演变</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bookmarkStart w:id="9" w:name="_Toc1273_WPSOffice_Level3"/>
      <w:bookmarkStart w:id="10" w:name="_Toc28898"/>
      <w:bookmarkStart w:id="11" w:name="_Toc23899"/>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——交通网络更为立体快捷。</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“十三五”以来，国道G324线陆丰穿城路段改建工程、内湖至碣石旅游公路升级改造工程、国道G228线碣石至</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东海乌坎</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路段路面改造工程</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国道</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G</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324线陂洋至内湖段路面改造、国道</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G</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324线博美穿城段路面改造、</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省道240线陆河交界至沈海高速陆丰互通出入口段路面完成改造工程</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完工</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。汕汕高铁（陆丰段）、省道510线河西至西南公路、深汕高速潭西互通、深汕高速西段扩建工程完成前期基础工作。</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累计完成国省道路面改造174公里、国省道公路安全生命防护工程90公里、</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县乡公路安全生命防护工程</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205</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公里，新农村公路路面硬底化建设</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419</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公里。</w:t>
      </w:r>
    </w:p>
    <w:p>
      <w:pPr>
        <w:pStyle w:val="6"/>
        <w:snapToGrid/>
        <w:spacing w:before="0" w:beforeAutospacing="0" w:after="0" w:afterAutospacing="0" w:line="240" w:lineRule="auto"/>
        <w:ind w:firstLine="0"/>
        <w:jc w:val="center"/>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drawing>
          <wp:inline distT="0" distB="0" distL="114300" distR="114300">
            <wp:extent cx="5106035" cy="3503295"/>
            <wp:effectExtent l="0" t="0" r="14605" b="1905"/>
            <wp:docPr id="3" name="图片 3" descr="C:\Users\Administrator\Desktop\CC.png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CC.pngCC"/>
                    <pic:cNvPicPr>
                      <a:picLocks noChangeAspect="1"/>
                    </pic:cNvPicPr>
                  </pic:nvPicPr>
                  <pic:blipFill>
                    <a:blip r:embed="rId8"/>
                    <a:srcRect/>
                    <a:stretch>
                      <a:fillRect/>
                    </a:stretch>
                  </pic:blipFill>
                  <pic:spPr>
                    <a:xfrm>
                      <a:off x="0" y="0"/>
                      <a:ext cx="5106035" cy="3503295"/>
                    </a:xfrm>
                    <a:prstGeom prst="rect">
                      <a:avLst/>
                    </a:prstGeom>
                  </pic:spPr>
                </pic:pic>
              </a:graphicData>
            </a:graphic>
          </wp:inline>
        </w:drawing>
      </w:r>
    </w:p>
    <w:p>
      <w:pPr>
        <w:pStyle w:val="7"/>
        <w:snapToGrid/>
        <w:spacing w:before="0" w:beforeAutospacing="0" w:after="0" w:afterAutospacing="0" w:line="240" w:lineRule="auto"/>
        <w:jc w:val="center"/>
        <w:textAlignment w:val="baseline"/>
        <w:rPr>
          <w:rFonts w:ascii="仿宋_GB2312" w:eastAsia="宋体"/>
          <w:b w:val="0"/>
          <w:i w:val="0"/>
          <w:caps w:val="0"/>
          <w:color w:val="000000" w:themeColor="text1"/>
          <w:spacing w:val="0"/>
          <w:w w:val="100"/>
          <w:sz w:val="24"/>
          <w:highlight w:val="none"/>
          <w:u w:val="none" w:color="auto"/>
          <w14:textFill>
            <w14:solidFill>
              <w14:schemeClr w14:val="tx1"/>
            </w14:solidFill>
          </w14:textFill>
        </w:rPr>
      </w:pPr>
      <w:r>
        <w:rPr>
          <w:rFonts w:ascii="Arial" w:hAnsi="Arial" w:eastAsia="黑体"/>
          <w:b w:val="0"/>
          <w:i w:val="0"/>
          <w:caps w:val="0"/>
          <w:color w:val="000000" w:themeColor="text1"/>
          <w:spacing w:val="0"/>
          <w:w w:val="100"/>
          <w:sz w:val="24"/>
          <w:highlight w:val="none"/>
          <w:u w:val="none" w:color="auto"/>
          <w14:textFill>
            <w14:solidFill>
              <w14:schemeClr w14:val="tx1"/>
            </w14:solidFill>
          </w14:textFill>
        </w:rPr>
        <w:t>图1-</w:t>
      </w:r>
      <w:r>
        <w:rPr>
          <w:rFonts w:hint="eastAsia"/>
          <w:b w:val="0"/>
          <w:i w:val="0"/>
          <w:caps w:val="0"/>
          <w:color w:val="000000" w:themeColor="text1"/>
          <w:spacing w:val="0"/>
          <w:w w:val="100"/>
          <w:sz w:val="24"/>
          <w:highlight w:val="none"/>
          <w:u w:val="none" w:color="auto"/>
          <w14:textFill>
            <w14:solidFill>
              <w14:schemeClr w14:val="tx1"/>
            </w14:solidFill>
          </w14:textFill>
        </w:rPr>
        <w:t>2 陆丰交通路网现状</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产业园区集聚动能不断增强</w:t>
      </w:r>
      <w:bookmarkEnd w:id="9"/>
      <w:bookmarkEnd w:id="10"/>
      <w:bookmarkEnd w:id="11"/>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全市三次产业结构从201</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5</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年的</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21.1</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36</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42.9</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调整为20</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20</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年的</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19.7</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32.1</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48.2</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。形成了以新能源、电子信息、高端装备制造等新兴产业和</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金融、房地产、四上服务业为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主的产业结构。甘薯、萝卜等两个省级现代农业产业园加快发展，陂洋特色水果、八万木兰基地和跨越农业、丰田畜产、超发种养、标铭农业等四家省级“菜篮子”基地以及五家汕尾市级“菜篮子”基地不断壮大。工业实力进一步增强，基本形成以核电、后湖海上风电、甲子海上风电、海洋工程基地等为重点的千亿级新能源产业和海洋高端装备制造业。加强了与深圳市罗湖区合作共建，以陆丰产业转移工业园为中心，带动了星都经济开发区</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东海经济开发区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和碣石至甲子的临海地区开发。星都经济开发区加快建设</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碣石海工装备基地有序</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推进</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三甲地区工业园区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启动建设</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汕尾（陆丰）临港工业园、</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大南海石化产业园汕尾东海岸石化基地正在规划。第三产业繁荣发展，凭借“神海砂石”、玄武山、清云山、金厢滩滨海旅游区、周恩来渡海口等</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资源</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休闲旅游</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和</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红色旅游快速发展</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一批乡村振兴美丽乡村示范带和万里碧道项目启动建设</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p>
    <w:p>
      <w:pPr>
        <w:pStyle w:val="6"/>
        <w:snapToGrid/>
        <w:spacing w:before="0" w:beforeAutospacing="0" w:after="0" w:afterAutospacing="0" w:line="600" w:lineRule="exact"/>
        <w:ind w:firstLine="0"/>
        <w:jc w:val="center"/>
        <w:textAlignment w:val="baseline"/>
        <w:rPr>
          <w:rFonts w:hint="eastAsia" w:ascii="黑体" w:hAnsi="黑体" w:eastAsia="黑体" w:cs="黑体"/>
          <w:b w:val="0"/>
          <w:i w:val="0"/>
          <w:caps w:val="0"/>
          <w:color w:val="000000" w:themeColor="text1"/>
          <w:spacing w:val="0"/>
          <w:w w:val="100"/>
          <w:sz w:val="24"/>
          <w:szCs w:val="24"/>
          <w:highlight w:val="none"/>
          <w:u w:val="none" w:color="auto"/>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drawing>
          <wp:anchor distT="0" distB="0" distL="114300" distR="114300" simplePos="0" relativeHeight="251659264" behindDoc="0" locked="0" layoutInCell="1" allowOverlap="1">
            <wp:simplePos x="0" y="0"/>
            <wp:positionH relativeFrom="column">
              <wp:posOffset>321310</wp:posOffset>
            </wp:positionH>
            <wp:positionV relativeFrom="paragraph">
              <wp:posOffset>133350</wp:posOffset>
            </wp:positionV>
            <wp:extent cx="4572000" cy="2743200"/>
            <wp:effectExtent l="0" t="0" r="0" b="0"/>
            <wp:wrapTopAndBottom/>
            <wp:docPr id="6"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黑体" w:hAnsi="黑体" w:eastAsia="黑体" w:cs="黑体"/>
          <w:b w:val="0"/>
          <w:i w:val="0"/>
          <w:caps w:val="0"/>
          <w:color w:val="000000" w:themeColor="text1"/>
          <w:spacing w:val="0"/>
          <w:w w:val="100"/>
          <w:sz w:val="24"/>
          <w:szCs w:val="24"/>
          <w:highlight w:val="none"/>
          <w:u w:val="none" w:color="auto"/>
          <w14:textFill>
            <w14:solidFill>
              <w14:schemeClr w14:val="tx1"/>
            </w14:solidFill>
          </w14:textFill>
        </w:rPr>
        <w:t>图1-3 201</w:t>
      </w:r>
      <w:r>
        <w:rPr>
          <w:rFonts w:hint="eastAsia" w:ascii="黑体" w:hAnsi="黑体" w:eastAsia="黑体" w:cs="黑体"/>
          <w:b w:val="0"/>
          <w:i w:val="0"/>
          <w:caps w:val="0"/>
          <w:color w:val="000000" w:themeColor="text1"/>
          <w:spacing w:val="0"/>
          <w:w w:val="100"/>
          <w:sz w:val="24"/>
          <w:szCs w:val="24"/>
          <w:highlight w:val="none"/>
          <w:u w:val="none" w:color="auto"/>
          <w:lang w:val="en-US" w:eastAsia="zh-CN"/>
          <w14:textFill>
            <w14:solidFill>
              <w14:schemeClr w14:val="tx1"/>
            </w14:solidFill>
          </w14:textFill>
        </w:rPr>
        <w:t>5</w:t>
      </w:r>
      <w:r>
        <w:rPr>
          <w:rFonts w:hint="eastAsia" w:ascii="黑体" w:hAnsi="黑体" w:eastAsia="黑体" w:cs="黑体"/>
          <w:b w:val="0"/>
          <w:i w:val="0"/>
          <w:caps w:val="0"/>
          <w:color w:val="000000" w:themeColor="text1"/>
          <w:spacing w:val="0"/>
          <w:w w:val="100"/>
          <w:sz w:val="24"/>
          <w:szCs w:val="24"/>
          <w:highlight w:val="none"/>
          <w:u w:val="none" w:color="auto"/>
          <w14:textFill>
            <w14:solidFill>
              <w14:schemeClr w14:val="tx1"/>
            </w14:solidFill>
          </w14:textFill>
        </w:rPr>
        <w:t>-20</w:t>
      </w:r>
      <w:r>
        <w:rPr>
          <w:rFonts w:hint="eastAsia" w:ascii="黑体" w:hAnsi="黑体" w:eastAsia="黑体" w:cs="黑体"/>
          <w:b w:val="0"/>
          <w:i w:val="0"/>
          <w:caps w:val="0"/>
          <w:color w:val="000000" w:themeColor="text1"/>
          <w:spacing w:val="0"/>
          <w:w w:val="100"/>
          <w:sz w:val="24"/>
          <w:szCs w:val="24"/>
          <w:highlight w:val="none"/>
          <w:u w:val="none" w:color="auto"/>
          <w:lang w:val="en-US" w:eastAsia="zh-CN"/>
          <w14:textFill>
            <w14:solidFill>
              <w14:schemeClr w14:val="tx1"/>
            </w14:solidFill>
          </w14:textFill>
        </w:rPr>
        <w:t>20</w:t>
      </w:r>
      <w:r>
        <w:rPr>
          <w:rFonts w:hint="eastAsia" w:ascii="黑体" w:hAnsi="黑体" w:eastAsia="黑体" w:cs="黑体"/>
          <w:b w:val="0"/>
          <w:i w:val="0"/>
          <w:caps w:val="0"/>
          <w:color w:val="000000" w:themeColor="text1"/>
          <w:spacing w:val="0"/>
          <w:w w:val="100"/>
          <w:sz w:val="24"/>
          <w:szCs w:val="24"/>
          <w:highlight w:val="none"/>
          <w:u w:val="none" w:color="auto"/>
          <w14:textFill>
            <w14:solidFill>
              <w14:schemeClr w14:val="tx1"/>
            </w14:solidFill>
          </w14:textFill>
        </w:rPr>
        <w:t>年陆丰三次产业结构</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bookmarkStart w:id="12" w:name="_Toc26972_WPSOffice_Level3"/>
      <w:bookmarkStart w:id="13" w:name="_Toc31490"/>
      <w:bookmarkStart w:id="14" w:name="_Toc15163"/>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w:t>
      </w:r>
      <w:bookmarkEnd w:id="12"/>
      <w:bookmarkEnd w:id="13"/>
      <w:bookmarkEnd w:id="14"/>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城乡面貌显著改善。</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“十三五”以来，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城市品质加快提升，先后完成了陆丰市城市总体规划、金厢滩-玄武山风景名胜区规划、海绵城市等规划编制。完成东河两岸改造升级、陆城污水处理厂南北堤截污干管、陆城管道天然气续建等市政基础设施建设，陆丰市（东南）生活垃圾焚烧发电厂已并网发电，陆丰市运河景观带建设项目全力推进，新时代市民广场、</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河东路（一期）市政工程启动建设。金厢</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溪</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碧道、瀛江碧道建设初见成效。66个省定贫困村投入7.2亿元全面开展村道、庭院及房前屋后绿化美化以及雨污分流，全面铺开垃圾收集点建设，垃圾处理实现“日产日清”，乡村振兴基础进一步夯实。</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创文创卫取得实效，持续推进</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“十大整治、十大提升”行动，环境卫生、交通秩序、农贸市场、违法建设和户外广告等突出问题得到有效整治。</w:t>
      </w:r>
    </w:p>
    <w:p>
      <w:pPr>
        <w:pStyle w:val="6"/>
        <w:snapToGrid/>
        <w:spacing w:before="0" w:beforeAutospacing="0" w:after="0" w:afterAutospacing="0" w:line="240" w:lineRule="auto"/>
        <w:ind w:firstLine="0"/>
        <w:jc w:val="center"/>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drawing>
          <wp:inline distT="0" distB="0" distL="114300" distR="114300">
            <wp:extent cx="5018405" cy="3114675"/>
            <wp:effectExtent l="0" t="0" r="10795" b="9525"/>
            <wp:docPr id="15" name="图片 1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
                    <pic:cNvPicPr>
                      <a:picLocks noChangeAspect="1"/>
                    </pic:cNvPicPr>
                  </pic:nvPicPr>
                  <pic:blipFill>
                    <a:blip r:embed="rId10"/>
                    <a:stretch>
                      <a:fillRect/>
                    </a:stretch>
                  </pic:blipFill>
                  <pic:spPr>
                    <a:xfrm>
                      <a:off x="0" y="0"/>
                      <a:ext cx="5018405" cy="3114675"/>
                    </a:xfrm>
                    <a:prstGeom prst="rect">
                      <a:avLst/>
                    </a:prstGeom>
                  </pic:spPr>
                </pic:pic>
              </a:graphicData>
            </a:graphic>
          </wp:inline>
        </w:drawing>
      </w:r>
    </w:p>
    <w:p>
      <w:pPr>
        <w:pStyle w:val="7"/>
        <w:snapToGrid/>
        <w:spacing w:before="0" w:beforeAutospacing="0" w:after="0" w:afterAutospacing="0" w:line="240" w:lineRule="auto"/>
        <w:jc w:val="center"/>
        <w:textAlignment w:val="baseline"/>
        <w:rPr>
          <w:rFonts w:ascii="仿宋_GB2312" w:eastAsia="宋体"/>
          <w:b w:val="0"/>
          <w:i w:val="0"/>
          <w:caps w:val="0"/>
          <w:color w:val="000000" w:themeColor="text1"/>
          <w:spacing w:val="0"/>
          <w:w w:val="100"/>
          <w:sz w:val="24"/>
          <w:highlight w:val="none"/>
          <w:u w:val="none" w:color="auto"/>
          <w:lang w:val="zh-CN"/>
          <w14:textFill>
            <w14:solidFill>
              <w14:schemeClr w14:val="tx1"/>
            </w14:solidFill>
          </w14:textFill>
        </w:rPr>
      </w:pPr>
      <w:r>
        <w:rPr>
          <w:rFonts w:ascii="Arial" w:hAnsi="Arial" w:eastAsia="黑体"/>
          <w:b w:val="0"/>
          <w:i w:val="0"/>
          <w:caps w:val="0"/>
          <w:color w:val="000000" w:themeColor="text1"/>
          <w:spacing w:val="0"/>
          <w:w w:val="100"/>
          <w:sz w:val="24"/>
          <w:highlight w:val="none"/>
          <w:u w:val="none" w:color="auto"/>
          <w14:textFill>
            <w14:solidFill>
              <w14:schemeClr w14:val="tx1"/>
            </w14:solidFill>
          </w14:textFill>
        </w:rPr>
        <w:t>图1-</w:t>
      </w:r>
      <w:r>
        <w:rPr>
          <w:b w:val="0"/>
          <w:i w:val="0"/>
          <w:caps w:val="0"/>
          <w:color w:val="000000" w:themeColor="text1"/>
          <w:spacing w:val="0"/>
          <w:w w:val="100"/>
          <w:sz w:val="20"/>
          <w:highlight w:val="none"/>
          <w:u w:val="none" w:color="auto"/>
          <w14:textFill>
            <w14:solidFill>
              <w14:schemeClr w14:val="tx1"/>
            </w14:solidFill>
          </w14:textFill>
        </w:rPr>
        <w:fldChar w:fldCharType="begin"/>
      </w:r>
      <w:r>
        <w:rPr>
          <w:b w:val="0"/>
          <w:i w:val="0"/>
          <w:caps w:val="0"/>
          <w:color w:val="000000" w:themeColor="text1"/>
          <w:spacing w:val="0"/>
          <w:w w:val="100"/>
          <w:sz w:val="20"/>
          <w:highlight w:val="none"/>
          <w:u w:val="none" w:color="auto"/>
          <w14:textFill>
            <w14:solidFill>
              <w14:schemeClr w14:val="tx1"/>
            </w14:solidFill>
          </w14:textFill>
        </w:rPr>
        <w:instrText xml:space="preserve"> SEQ 图1- \* ARABIC </w:instrText>
      </w:r>
      <w:r>
        <w:rPr>
          <w:b w:val="0"/>
          <w:i w:val="0"/>
          <w:caps w:val="0"/>
          <w:color w:val="000000" w:themeColor="text1"/>
          <w:spacing w:val="0"/>
          <w:w w:val="100"/>
          <w:sz w:val="20"/>
          <w:highlight w:val="none"/>
          <w:u w:val="none" w:color="auto"/>
          <w14:textFill>
            <w14:solidFill>
              <w14:schemeClr w14:val="tx1"/>
            </w14:solidFill>
          </w14:textFill>
        </w:rPr>
        <w:fldChar w:fldCharType="separate"/>
      </w:r>
      <w:r>
        <w:rPr>
          <w:rFonts w:ascii="Arial" w:hAnsi="Arial" w:eastAsia="黑体"/>
          <w:b w:val="0"/>
          <w:i w:val="0"/>
          <w:caps w:val="0"/>
          <w:color w:val="000000" w:themeColor="text1"/>
          <w:spacing w:val="0"/>
          <w:w w:val="100"/>
          <w:sz w:val="24"/>
          <w:highlight w:val="none"/>
          <w:u w:val="none" w:color="auto"/>
          <w14:textFill>
            <w14:solidFill>
              <w14:schemeClr w14:val="tx1"/>
            </w14:solidFill>
          </w14:textFill>
        </w:rPr>
        <w:t>4</w:t>
      </w:r>
      <w:r>
        <w:rPr>
          <w:b w:val="0"/>
          <w:i w:val="0"/>
          <w:caps w:val="0"/>
          <w:color w:val="000000" w:themeColor="text1"/>
          <w:spacing w:val="0"/>
          <w:w w:val="100"/>
          <w:sz w:val="20"/>
          <w:highlight w:val="none"/>
          <w:u w:val="none" w:color="auto"/>
          <w14:textFill>
            <w14:solidFill>
              <w14:schemeClr w14:val="tx1"/>
            </w14:solidFill>
          </w14:textFill>
        </w:rPr>
        <w:fldChar w:fldCharType="end"/>
      </w:r>
      <w:r>
        <w:rPr>
          <w:rFonts w:hint="eastAsia"/>
          <w:b w:val="0"/>
          <w:i w:val="0"/>
          <w:caps w:val="0"/>
          <w:color w:val="000000" w:themeColor="text1"/>
          <w:spacing w:val="0"/>
          <w:w w:val="100"/>
          <w:sz w:val="24"/>
          <w:highlight w:val="none"/>
          <w:u w:val="none" w:color="auto"/>
          <w14:textFill>
            <w14:solidFill>
              <w14:schemeClr w14:val="tx1"/>
            </w14:solidFill>
          </w14:textFill>
        </w:rPr>
        <w:t xml:space="preserve"> 陆丰市域城乡建设用地现状分布格局</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——改革开放深</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入</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推进。</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“十三五”以来，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加大简政放权力度，行政审批、商事制度、地方机构改革等重大领域和关键环节改革取得重大进展。取消证明事项</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175</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项，</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直接取消或替代证明材料1344项，</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强化</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一门式一网式”政府服务，全市所有政务服务事项均进驻服务大厅。加快推进“数字政府”改革建设，推广“粤省事”小程序，484事项实现“指尖办理”。推进商事制度改革，全力服务市场主体发展，各类市场主体</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达到了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5.9万户，注册资金220亿元。扎实推进</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“5+2”农村综合改革，</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基本完成土地确权登记颁证，有序</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推进了</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农村集体资产登记产权事项改革，21个镇共有3013宗进入镇级交易中心公开交易。深化</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地方机构改革，国地税顺利合并，推进</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市农信社改制，顺利获批筹建市农商行。</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进一步</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落实</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殡葬改革，免除7项殡葬基本服务费，切实维护</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广大人民群众权益。</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——脱贫攻坚取得决定性胜利。</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至2</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020</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年底，</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实现</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了16952</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户</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65843</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名贫困人口脱贫、66个相对贫困村出列，贫困户人均可支配收入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14141元，基本完成“两个100%”的目标任务。产业帮扶落到实处，创建了萝卜和甘薯2个省级现代</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农业</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产业园，建立</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17个市级农业产业园（基地），建设</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陆城美食文化广场等7个资产收益类扶贫项目，打造</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97个镇（村）级产业扶贫示范基地；组织举办特色农产品展销会，设立1个市（县）级电商服务中心、6个镇级服务站、242个益农信息社网络点，拓宽</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扶贫农产品营销渠道，有效转移3440名贫困劳动力到深圳稳定就业。</w:t>
      </w:r>
    </w:p>
    <w:p>
      <w:pPr>
        <w:pStyle w:val="6"/>
        <w:snapToGrid/>
        <w:spacing w:before="0" w:beforeAutospacing="0" w:after="0" w:afterAutospacing="0" w:line="600" w:lineRule="exact"/>
        <w:ind w:firstLine="643"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——创新驱动战略深入实施。</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“十三五”以来，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不断深化创新型城市建设工程，加大了建设创新平台力度，提升</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科技创新能力，</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有效</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推动科技成果转化，优化</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创新环境，现有高新技术企业4家、科技型中小企业2</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3</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家、省级研发中心1家、市级研发中心2</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2</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家、新型研发机构及众创空间</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1家，先进能源科学与技术广东省实验室汕尾分中心获批准启动建设。5</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G</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网络建设不断推进，完成</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2</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91</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个5</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G</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站点配套设施建设，移动公司建设并开通1</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75</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个5</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G</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基站，电信公司与联通公司共建开通</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2</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56</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个5</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G</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基站。</w:t>
      </w:r>
    </w:p>
    <w:p>
      <w:pPr>
        <w:pStyle w:val="6"/>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——生态环境持续改善。</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“十三五”以来，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我市积极</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推进了环境综合整治，加强了对破坏环境违法行为的打击</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力度</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，做好</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地表水国考断面达标、“散乱污”专项整治、饮用水水源地环境问题整治、污染源普查等重点工作。打击非法电镀企业，多个乡镇集中式饮用水源保护区隔离防护工程完成竣工验收。</w:t>
      </w:r>
      <w:r>
        <w:rPr>
          <w:rFonts w:hint="eastAsia" w:ascii="仿宋_GB2312" w:hAnsi="仿宋_GB2312" w:eastAsia="仿宋_GB2312" w:cs="仿宋_GB2312"/>
          <w:color w:val="000000" w:themeColor="text1"/>
          <w:sz w:val="32"/>
          <w:szCs w:val="32"/>
          <w:highlight w:val="none"/>
          <w14:textFill>
            <w14:solidFill>
              <w14:schemeClr w14:val="tx1"/>
            </w14:solidFill>
          </w14:textFill>
        </w:rPr>
        <w:t>完成工程造林任务3.1万亩，完成森林抚育工程14.04万亩，森林覆盖率达到35.83%，建设绿美红色乡村示范点3个。环境空气质量优良指数比例96.4%，六项空气质量指标连续达标；集中式生活饮用水水源水质达标率100%；实行大气污染排放控制制度，实现污染减排目标。</w:t>
      </w:r>
      <w:bookmarkStart w:id="15" w:name="_Toc1423_WPSOffice_Level3"/>
    </w:p>
    <w:p>
      <w:pPr>
        <w:pStyle w:val="6"/>
        <w:snapToGrid/>
        <w:spacing w:before="0" w:beforeAutospacing="0" w:after="0" w:afterAutospacing="0" w:line="600" w:lineRule="exact"/>
        <w:ind w:firstLine="643"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bookmarkEnd w:id="15"/>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民生福祉持续增进。</w:t>
      </w:r>
      <w:r>
        <w:rPr>
          <w:rFonts w:hint="eastAsia" w:ascii="仿宋_GB2312" w:eastAsia="仿宋_GB2312"/>
          <w:b w:val="0"/>
          <w:bCs w:val="0"/>
          <w:i w:val="0"/>
          <w:caps w:val="0"/>
          <w:color w:val="000000" w:themeColor="text1"/>
          <w:spacing w:val="0"/>
          <w:w w:val="100"/>
          <w:sz w:val="32"/>
          <w:szCs w:val="32"/>
          <w:highlight w:val="none"/>
          <w:u w:val="none" w:color="auto"/>
          <w14:textFill>
            <w14:solidFill>
              <w14:schemeClr w14:val="tx1"/>
            </w14:solidFill>
          </w14:textFill>
        </w:rPr>
        <w:t>现代</w:t>
      </w:r>
      <w:r>
        <w:rPr>
          <w:rFonts w:hint="eastAsia" w:ascii="仿宋_GB2312" w:eastAsia="仿宋_GB2312"/>
          <w:b w:val="0"/>
          <w:bCs w:val="0"/>
          <w:i w:val="0"/>
          <w:caps w:val="0"/>
          <w:color w:val="000000" w:themeColor="text1"/>
          <w:spacing w:val="0"/>
          <w:w w:val="100"/>
          <w:sz w:val="32"/>
          <w:szCs w:val="32"/>
          <w:highlight w:val="none"/>
          <w:u w:val="none" w:color="auto"/>
          <w:lang w:val="zh-CN"/>
          <w14:textFill>
            <w14:solidFill>
              <w14:schemeClr w14:val="tx1"/>
            </w14:solidFill>
          </w14:textFill>
        </w:rPr>
        <w:t>教育向好发展</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教育强市工作、农村义务教育薄弱学校改造规划、农村小规模学校建设等各项规划建设有序推进，</w:t>
      </w:r>
      <w:r>
        <w:rPr>
          <w:rFonts w:hint="eastAsia" w:ascii="仿宋_GB2312" w:hAnsi="仿宋_GB2312" w:eastAsia="仿宋_GB2312" w:cs="仿宋_GB2312"/>
          <w:color w:val="000000" w:themeColor="text1"/>
          <w:sz w:val="32"/>
          <w:szCs w:val="32"/>
          <w:highlight w:val="none"/>
          <w14:textFill>
            <w14:solidFill>
              <w14:schemeClr w14:val="tx1"/>
            </w14:solidFill>
          </w14:textFill>
        </w:rPr>
        <w:t>被授予“广东省推进教育现代化先进县（市、区）”称号。</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市少年宫</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市教师发展中心、龙山中学新校区</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高中部投入使用，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改扩建市职业技术学校、市碣石镇新安职业技术学校、甲秀职业技术学校</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等</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职业技术学校。</w:t>
      </w:r>
      <w:r>
        <w:rPr>
          <w:rFonts w:hint="eastAsia" w:ascii="仿宋_GB2312" w:eastAsia="仿宋_GB2312"/>
          <w:b w:val="0"/>
          <w:bCs w:val="0"/>
          <w:i w:val="0"/>
          <w:caps w:val="0"/>
          <w:color w:val="000000" w:themeColor="text1"/>
          <w:spacing w:val="0"/>
          <w:w w:val="100"/>
          <w:sz w:val="32"/>
          <w:szCs w:val="32"/>
          <w:highlight w:val="none"/>
          <w:u w:val="none" w:color="auto"/>
          <w:lang w:val="zh-CN"/>
          <w14:textFill>
            <w14:solidFill>
              <w14:schemeClr w14:val="tx1"/>
            </w14:solidFill>
          </w14:textFill>
        </w:rPr>
        <w:t>文体事业再创佳绩</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陆丰市体育馆、游泳池新建项目完工，</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有“三馆”、人民体育场各一个， 21个镇（区）文化站，335个村（社区）综合性文化服务中心，正字戏和皮影戏非遗传承保护中心各1个，皮影戏非遗展馆1个。群众文化活动丰富，每年坚持举办重大节日庆典、主题性文艺活动和各类型讲座。全面完成</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镇级医疗卫生机构标准化升级建设和279个村级卫生站新建工程，市妇幼保健院、甲子人民卫生院、碣石人民卫生院整体新建搬迁、市中医医院新建住院大楼</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完工并投产</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进一步</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完善</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县、镇、村三级医疗卫生服务网络建设。医疗卫生信息化建设投入加大，所有医疗机构实行信息化服务管理，“互联网+医疗健康”服务推广加快。市人民医院、市中医医院、市妇幼保健计划生育服务中心3家县级公立医院列入综合改革范畴，全部取消药品加成。</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lang w:val="zh-CN"/>
          <w14:textFill>
            <w14:solidFill>
              <w14:schemeClr w14:val="tx1"/>
            </w14:solidFill>
          </w14:textFill>
        </w:rPr>
        <w:t>社会保障</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水平</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lang w:val="zh-CN"/>
          <w14:textFill>
            <w14:solidFill>
              <w14:schemeClr w14:val="tx1"/>
            </w14:solidFill>
          </w14:textFill>
        </w:rPr>
        <w:t>不断</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提高</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。城镇登记失业率控制在</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3</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%以内，全市城乡居民养老保险</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超额完成任务，参保率为105.49</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%，医疗保险参保</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率提高到98.2</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p>
    <w:p>
      <w:pPr>
        <w:pStyle w:val="6"/>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——社会治理大局和谐稳定。</w:t>
      </w:r>
      <w:r>
        <w:rPr>
          <w:rFonts w:hint="eastAsia" w:ascii="仿宋_GB2312" w:hAnsi="仿宋_GB2312" w:eastAsia="仿宋_GB2312" w:cs="仿宋_GB2312"/>
          <w:color w:val="000000" w:themeColor="text1"/>
          <w:sz w:val="32"/>
          <w:szCs w:val="32"/>
          <w:highlight w:val="none"/>
          <w14:textFill>
            <w14:solidFill>
              <w14:schemeClr w14:val="tx1"/>
            </w14:solidFill>
          </w14:textFill>
        </w:rPr>
        <w:t>妥善解决乌坎涉稳问题，成功摘除陆丰“毒帽”，成功摘牌涉枪问题挂牌督办重点县，彻底解决碣石地区“洋垃圾”问题，基本解决陂洋镇双坑村涉盗改销机动车问题。高压态势推动扫黑除恶斗争，打掉涉恶团伙61个，破获涉黑涉恶案件434宗。涉盗涉抢、涉黄涉赌违法犯罪行为有效遏制，社会治安实现根本性好转。</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食品安全得到有效保障，全市无较大以上食品药品安全事故发生。应急管理工作得到改革和加强，及时有效应对突发事件，生产安全事故三项指标持续下降，全市无重大森林火灾和重大交通安全事故发生。</w:t>
      </w:r>
    </w:p>
    <w:p>
      <w:pPr>
        <w:widowControl/>
        <w:jc w:val="center"/>
        <w:rPr>
          <w:rFonts w:hint="eastAsia" w:ascii="方正小标宋简体" w:hAnsi="黑体" w:eastAsia="方正小标宋简体" w:cs="Times New Roman"/>
          <w:color w:val="000000" w:themeColor="text1"/>
          <w:kern w:val="0"/>
          <w:sz w:val="32"/>
          <w:szCs w:val="32"/>
          <w:highlight w:val="none"/>
          <w14:textFill>
            <w14:solidFill>
              <w14:schemeClr w14:val="tx1"/>
            </w14:solidFill>
          </w14:textFill>
        </w:rPr>
      </w:pPr>
      <w:bookmarkStart w:id="16" w:name="_Toc19347_WPSOffice_Level3"/>
      <w:r>
        <w:rPr>
          <w:rFonts w:hint="eastAsia" w:ascii="方正小标宋简体" w:hAnsi="黑体" w:eastAsia="方正小标宋简体" w:cs="Times New Roman"/>
          <w:color w:val="000000" w:themeColor="text1"/>
          <w:kern w:val="0"/>
          <w:sz w:val="32"/>
          <w:szCs w:val="32"/>
          <w:highlight w:val="none"/>
          <w14:textFill>
            <w14:solidFill>
              <w14:schemeClr w14:val="tx1"/>
            </w14:solidFill>
          </w14:textFill>
        </w:rPr>
        <w:t>表1 陆丰市“十三五”经济社会发展主要指标情况</w:t>
      </w:r>
      <w:bookmarkEnd w:id="16"/>
    </w:p>
    <w:tbl>
      <w:tblPr>
        <w:tblStyle w:val="25"/>
        <w:tblW w:w="11028" w:type="dxa"/>
        <w:jc w:val="center"/>
        <w:shd w:val="clear" w:color="auto" w:fill="FFFFFF" w:themeFill="background1"/>
        <w:tblLayout w:type="fixed"/>
        <w:tblCellMar>
          <w:top w:w="0" w:type="dxa"/>
          <w:left w:w="0" w:type="dxa"/>
          <w:bottom w:w="0" w:type="dxa"/>
          <w:right w:w="0" w:type="dxa"/>
        </w:tblCellMar>
      </w:tblPr>
      <w:tblGrid>
        <w:gridCol w:w="855"/>
        <w:gridCol w:w="1622"/>
        <w:gridCol w:w="1528"/>
        <w:gridCol w:w="868"/>
        <w:gridCol w:w="1020"/>
        <w:gridCol w:w="1308"/>
        <w:gridCol w:w="1424"/>
        <w:gridCol w:w="1359"/>
        <w:gridCol w:w="1044"/>
      </w:tblGrid>
      <w:tr>
        <w:tblPrEx>
          <w:shd w:val="clear" w:color="auto" w:fill="FFFFFF" w:themeFill="background1"/>
          <w:tblCellMar>
            <w:top w:w="0" w:type="dxa"/>
            <w:left w:w="0" w:type="dxa"/>
            <w:bottom w:w="0" w:type="dxa"/>
            <w:right w:w="0" w:type="dxa"/>
          </w:tblCellMar>
        </w:tblPrEx>
        <w:trPr>
          <w:trHeight w:val="318" w:hRule="atLeast"/>
          <w:jc w:val="center"/>
        </w:trPr>
        <w:tc>
          <w:tcPr>
            <w:tcW w:w="85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ascii="仿宋" w:hAnsi="仿宋" w:eastAsia="仿宋" w:cs="仿宋"/>
                <w:b/>
                <w:i w:val="0"/>
                <w:color w:val="000000" w:themeColor="text1"/>
                <w:sz w:val="22"/>
                <w:szCs w:val="22"/>
                <w:highlight w:val="none"/>
                <w:u w:val="none"/>
                <w14:textFill>
                  <w14:solidFill>
                    <w14:schemeClr w14:val="tx1"/>
                  </w14:solidFill>
                </w14:textFill>
              </w:rPr>
            </w:pPr>
            <w:bookmarkStart w:id="17" w:name="_Toc15269"/>
            <w:bookmarkStart w:id="18" w:name="_Toc16665"/>
            <w:bookmarkStart w:id="19" w:name="_Toc31009"/>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序号</w:t>
            </w:r>
          </w:p>
        </w:tc>
        <w:tc>
          <w:tcPr>
            <w:tcW w:w="315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指标</w:t>
            </w: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2015年</w:t>
            </w: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“十三五”规划目标</w:t>
            </w: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“十三五”实际增长</w:t>
            </w: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属性</w:t>
            </w:r>
          </w:p>
        </w:tc>
      </w:tr>
      <w:tr>
        <w:tblPrEx>
          <w:tblCellMar>
            <w:top w:w="0" w:type="dxa"/>
            <w:left w:w="0" w:type="dxa"/>
            <w:bottom w:w="0" w:type="dxa"/>
            <w:right w:w="0" w:type="dxa"/>
          </w:tblCellMar>
        </w:tblPrEx>
        <w:trPr>
          <w:trHeight w:val="576" w:hRule="atLeast"/>
          <w:jc w:val="center"/>
        </w:trPr>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b/>
                <w:i w:val="0"/>
                <w:color w:val="000000" w:themeColor="text1"/>
                <w:sz w:val="22"/>
                <w:szCs w:val="22"/>
                <w:highlight w:val="none"/>
                <w:u w:val="none"/>
                <w14:textFill>
                  <w14:solidFill>
                    <w14:schemeClr w14:val="tx1"/>
                  </w14:solidFill>
                </w14:textFill>
              </w:rPr>
            </w:pPr>
          </w:p>
        </w:tc>
        <w:tc>
          <w:tcPr>
            <w:tcW w:w="315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b/>
                <w:i w:val="0"/>
                <w:color w:val="000000" w:themeColor="text1"/>
                <w:sz w:val="22"/>
                <w:szCs w:val="22"/>
                <w:highlight w:val="none"/>
                <w:u w:val="none"/>
                <w14:textFill>
                  <w14:solidFill>
                    <w14:schemeClr w14:val="tx1"/>
                  </w14:solidFill>
                </w14:textFill>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b/>
                <w:i w:val="0"/>
                <w:color w:val="000000" w:themeColor="text1"/>
                <w:sz w:val="22"/>
                <w:szCs w:val="22"/>
                <w:highlight w:val="none"/>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2020年</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年均增长（%）</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2020年</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年均增长（%）</w:t>
            </w: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jc w:val="center"/>
              <w:rPr>
                <w:rFonts w:hint="eastAsia" w:ascii="宋体" w:hAnsi="宋体" w:eastAsia="宋体" w:cs="宋体"/>
                <w:b/>
                <w:i w:val="0"/>
                <w:color w:val="000000" w:themeColor="text1"/>
                <w:sz w:val="22"/>
                <w:szCs w:val="22"/>
                <w:highlight w:val="none"/>
                <w:u w:val="none"/>
                <w14:textFill>
                  <w14:solidFill>
                    <w14:schemeClr w14:val="tx1"/>
                  </w14:solidFill>
                </w14:textFill>
              </w:rPr>
            </w:pPr>
          </w:p>
        </w:tc>
      </w:tr>
      <w:tr>
        <w:tblPrEx>
          <w:tblCellMar>
            <w:top w:w="0" w:type="dxa"/>
            <w:left w:w="0" w:type="dxa"/>
            <w:bottom w:w="0" w:type="dxa"/>
            <w:right w:w="0" w:type="dxa"/>
          </w:tblCellMar>
        </w:tblPrEx>
        <w:trPr>
          <w:trHeight w:val="288" w:hRule="atLeast"/>
          <w:jc w:val="center"/>
        </w:trPr>
        <w:tc>
          <w:tcPr>
            <w:tcW w:w="11028" w:type="dxa"/>
            <w:gridSpan w:val="9"/>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top"/>
          </w:tcPr>
          <w:p>
            <w:pPr>
              <w:keepNext w:val="0"/>
              <w:keepLines w:val="0"/>
              <w:widowControl/>
              <w:suppressLineNumbers w:val="0"/>
              <w:jc w:val="center"/>
              <w:textAlignment w:val="top"/>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一、经济发展</w:t>
            </w:r>
          </w:p>
        </w:tc>
      </w:tr>
      <w:tr>
        <w:tblPrEx>
          <w:tblCellMar>
            <w:top w:w="0" w:type="dxa"/>
            <w:left w:w="0" w:type="dxa"/>
            <w:bottom w:w="0" w:type="dxa"/>
            <w:right w:w="0" w:type="dxa"/>
          </w:tblCellMar>
        </w:tblPrEx>
        <w:trPr>
          <w:trHeight w:val="318"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地区生产总值（亿元）</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218.99 </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400</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11以上</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360.1</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themeColor="text1"/>
                <w:sz w:val="22"/>
                <w:szCs w:val="22"/>
                <w:highlight w:val="none"/>
                <w:u w:val="none"/>
                <w:lang w:val="en-US" w:eastAsia="zh-CN"/>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7.0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人均地区生产总值（元）</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15768 </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27651</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11以上</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25133</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6.4</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3</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全员劳动生产率（万元/人）</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4</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居民消费价格指数（%）</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101.3 </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103 </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102.4</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5</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服务业增加值比重（%）</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default" w:ascii="仿宋" w:hAnsi="仿宋" w:eastAsia="仿宋" w:cs="仿宋"/>
                <w:i w:val="0"/>
                <w:color w:val="000000" w:themeColor="text1"/>
                <w:sz w:val="22"/>
                <w:szCs w:val="22"/>
                <w:highlight w:val="none"/>
                <w:u w:val="none"/>
                <w:lang w:val="en-US" w:eastAsia="zh-CN"/>
                <w14:textFill>
                  <w14:solidFill>
                    <w14:schemeClr w14:val="tx1"/>
                  </w14:solidFill>
                </w14:textFill>
              </w:rPr>
            </w:pP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3.5</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40以上</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default" w:ascii="仿宋" w:hAnsi="仿宋" w:eastAsia="仿宋" w:cs="仿宋"/>
                <w:i w:val="0"/>
                <w:color w:val="000000" w:themeColor="text1"/>
                <w:sz w:val="22"/>
                <w:szCs w:val="22"/>
                <w:highlight w:val="none"/>
                <w:u w:val="none"/>
                <w:lang w:val="en-US" w:eastAsia="zh-CN"/>
                <w14:textFill>
                  <w14:solidFill>
                    <w14:schemeClr w14:val="tx1"/>
                  </w14:solidFill>
                </w14:textFill>
              </w:rPr>
            </w:pP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33.7</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〔30.2〕</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6</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常住人口城镇化率（%）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48.38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75以上</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9.2</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51.64</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1.3</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52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7</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研究与发展经费支出占地区生产总值比例（%）</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0.64</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1.4</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8</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科技进步贡献率（%）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44</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288" w:hRule="atLeast"/>
          <w:jc w:val="center"/>
        </w:trPr>
        <w:tc>
          <w:tcPr>
            <w:tcW w:w="11028" w:type="dxa"/>
            <w:gridSpan w:val="9"/>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top"/>
          </w:tcPr>
          <w:p>
            <w:pPr>
              <w:keepNext w:val="0"/>
              <w:keepLines w:val="0"/>
              <w:widowControl/>
              <w:suppressLineNumbers w:val="0"/>
              <w:jc w:val="center"/>
              <w:textAlignment w:val="top"/>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二、民生福祉</w:t>
            </w:r>
          </w:p>
        </w:tc>
      </w:tr>
      <w:tr>
        <w:tblPrEx>
          <w:tblCellMar>
            <w:top w:w="0" w:type="dxa"/>
            <w:left w:w="0" w:type="dxa"/>
            <w:bottom w:w="0" w:type="dxa"/>
            <w:right w:w="0" w:type="dxa"/>
          </w:tblCellMar>
        </w:tblPrEx>
        <w:trPr>
          <w:trHeight w:val="288"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9</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常住人口（万人）</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138.8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160</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3.05</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143.6 </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0.7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10</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人口自然增长率（‰）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7.18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8</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2.28</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4.7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312"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11</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平均预期寿命（岁）</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76.49</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77</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0.13</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77.8</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0.3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12</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城镇调查失业率（%）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2.36</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2.39</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0.3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13</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城镇新增就业人数（万人）</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1.9</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〔7.5〕</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〔8.7452〕</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14</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高中阶段教育毛入学率（%）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85.3</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95</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1.94</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95.21</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1.94</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48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15</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幼儿学前三年教育毛入学率（%）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81.2</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98以上</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3.36</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92.06</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2.17</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16</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九年义务教育巩固率（%）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95</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98</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0.6</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96.28</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0.6</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shd w:val="clear" w:color="auto" w:fill="FFFFFF" w:themeFill="background1"/>
          <w:tblCellMar>
            <w:top w:w="0" w:type="dxa"/>
            <w:left w:w="0" w:type="dxa"/>
            <w:bottom w:w="0" w:type="dxa"/>
            <w:right w:w="0" w:type="dxa"/>
          </w:tblCellMar>
        </w:tblPrEx>
        <w:trPr>
          <w:trHeight w:val="560"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17</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城镇职工基本养老保险参保人数（万人）</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11</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14.5</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14.52</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5.7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18</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城乡居民基本养老保险参保率（%）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95</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95以上</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themeColor="text1"/>
                <w:sz w:val="22"/>
                <w:szCs w:val="22"/>
                <w:highlight w:val="none"/>
                <w:u w:val="none"/>
                <w:lang w:val="en-US"/>
                <w14:textFill>
                  <w14:solidFill>
                    <w14:schemeClr w14:val="tx1"/>
                  </w14:solidFill>
                </w14:textFill>
              </w:rPr>
            </w:pP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105.49</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themeColor="text1"/>
                <w:sz w:val="22"/>
                <w:szCs w:val="22"/>
                <w:highlight w:val="none"/>
                <w:u w:val="none"/>
                <w:lang w:val="en-US" w:eastAsia="zh-CN"/>
                <w14:textFill>
                  <w14:solidFill>
                    <w14:schemeClr w14:val="tx1"/>
                  </w14:solidFill>
                </w14:textFill>
              </w:rPr>
            </w:pP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2.1</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19</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城乡基本医疗保险参保率（%）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98以上</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98.2</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0.04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20</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城乡居民人均可支配收入（元）</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14247</w:t>
            </w: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与GDP增长同步</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default" w:ascii="仿宋" w:hAnsi="仿宋" w:eastAsia="仿宋" w:cs="仿宋"/>
                <w:i w:val="0"/>
                <w:color w:val="000000" w:themeColor="text1"/>
                <w:sz w:val="22"/>
                <w:szCs w:val="22"/>
                <w:highlight w:val="none"/>
                <w:u w:val="none"/>
                <w:lang w:val="en-US" w:eastAsia="zh-CN"/>
                <w14:textFill>
                  <w14:solidFill>
                    <w14:schemeClr w14:val="tx1"/>
                  </w14:solidFill>
                </w14:textFill>
              </w:rPr>
            </w:pP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21806</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default" w:ascii="仿宋" w:hAnsi="仿宋" w:eastAsia="仿宋" w:cs="仿宋"/>
                <w:i w:val="0"/>
                <w:color w:val="000000" w:themeColor="text1"/>
                <w:sz w:val="22"/>
                <w:szCs w:val="22"/>
                <w:highlight w:val="none"/>
                <w:u w:val="none"/>
                <w:lang w:val="en-US" w:eastAsia="zh-CN"/>
                <w14:textFill>
                  <w14:solidFill>
                    <w14:schemeClr w14:val="tx1"/>
                  </w14:solidFill>
                </w14:textFill>
              </w:rPr>
            </w:pP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8.9</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288" w:hRule="atLeast"/>
          <w:jc w:val="center"/>
        </w:trPr>
        <w:tc>
          <w:tcPr>
            <w:tcW w:w="11028" w:type="dxa"/>
            <w:gridSpan w:val="9"/>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top"/>
          </w:tcPr>
          <w:p>
            <w:pPr>
              <w:keepNext w:val="0"/>
              <w:keepLines w:val="0"/>
              <w:widowControl/>
              <w:suppressLineNumbers w:val="0"/>
              <w:jc w:val="center"/>
              <w:textAlignment w:val="top"/>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三、生态文明</w:t>
            </w:r>
          </w:p>
        </w:tc>
      </w:tr>
      <w:tr>
        <w:tblPrEx>
          <w:shd w:val="clear" w:color="auto" w:fill="FFFFFF" w:themeFill="background1"/>
          <w:tblCellMar>
            <w:top w:w="0" w:type="dxa"/>
            <w:left w:w="0" w:type="dxa"/>
            <w:bottom w:w="0" w:type="dxa"/>
            <w:right w:w="0" w:type="dxa"/>
          </w:tblCellMar>
        </w:tblPrEx>
        <w:trPr>
          <w:trHeight w:val="288"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21</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耕地保有量（公顷）</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50594</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49983</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63558</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4.7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22</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单位工业增加值用水量</w:t>
            </w:r>
          </w:p>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（立方米/万元）</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33.11</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21.5</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color w:val="000000" w:themeColor="text1"/>
                <w:highlight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-8.3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shd w:val="clear" w:color="auto" w:fill="FFFFFF" w:themeFill="background1"/>
          <w:tblCellMar>
            <w:top w:w="0" w:type="dxa"/>
            <w:left w:w="0" w:type="dxa"/>
            <w:bottom w:w="0" w:type="dxa"/>
            <w:right w:w="0" w:type="dxa"/>
          </w:tblCellMar>
        </w:tblPrEx>
        <w:trPr>
          <w:trHeight w:val="576"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23</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非化石能源占能源消费比重（%）</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未下达任务</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864"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24</w:t>
            </w:r>
          </w:p>
        </w:tc>
        <w:tc>
          <w:tcPr>
            <w:tcW w:w="1622"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能源消费控制</w:t>
            </w:r>
          </w:p>
        </w:tc>
        <w:tc>
          <w:tcPr>
            <w:tcW w:w="152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单位生产总值能源消耗降低（%）</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6.5</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5</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sz w:val="22"/>
                <w:szCs w:val="22"/>
                <w:highlight w:val="none"/>
                <w:u w:val="none"/>
                <w14:textFill>
                  <w14:solidFill>
                    <w14:schemeClr w14:val="tx1"/>
                  </w14:solidFill>
                </w14:textFill>
              </w:rPr>
              <w:t>完成省</w:t>
            </w:r>
            <w:r>
              <w:rPr>
                <w:rFonts w:hint="eastAsia" w:ascii="仿宋" w:hAnsi="仿宋" w:eastAsia="仿宋" w:cs="仿宋"/>
                <w:i w:val="0"/>
                <w:color w:val="000000" w:themeColor="text1"/>
                <w:sz w:val="22"/>
                <w:szCs w:val="22"/>
                <w:highlight w:val="none"/>
                <w:u w:val="none"/>
                <w:lang w:eastAsia="zh-CN"/>
                <w14:textFill>
                  <w14:solidFill>
                    <w14:schemeClr w14:val="tx1"/>
                  </w14:solidFill>
                </w14:textFill>
              </w:rPr>
              <w:t>、</w:t>
            </w: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市</w:t>
            </w:r>
            <w:r>
              <w:rPr>
                <w:rFonts w:hint="eastAsia" w:ascii="仿宋" w:hAnsi="仿宋" w:eastAsia="仿宋" w:cs="仿宋"/>
                <w:i w:val="0"/>
                <w:color w:val="000000" w:themeColor="text1"/>
                <w:sz w:val="22"/>
                <w:szCs w:val="22"/>
                <w:highlight w:val="none"/>
                <w:u w:val="none"/>
                <w14:textFill>
                  <w14:solidFill>
                    <w14:schemeClr w14:val="tx1"/>
                  </w14:solidFill>
                </w14:textFill>
              </w:rPr>
              <w:t>下达任务</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879" w:hRule="atLeast"/>
          <w:jc w:val="center"/>
        </w:trPr>
        <w:tc>
          <w:tcPr>
            <w:tcW w:w="85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25</w:t>
            </w:r>
          </w:p>
        </w:tc>
        <w:tc>
          <w:tcPr>
            <w:tcW w:w="1622"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温室气体排放控制</w:t>
            </w:r>
          </w:p>
        </w:tc>
        <w:tc>
          <w:tcPr>
            <w:tcW w:w="152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碳排放总量（万吨二氧化碳当量）</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未下达任务</w:t>
            </w:r>
          </w:p>
        </w:tc>
        <w:tc>
          <w:tcPr>
            <w:tcW w:w="2328" w:type="dxa"/>
            <w:gridSpan w:val="2"/>
            <w:vMerge w:val="restart"/>
            <w:tcBorders>
              <w:top w:val="single" w:color="000000" w:sz="4" w:space="0"/>
              <w:left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完成省、市下达任务</w:t>
            </w: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完成省</w:t>
            </w:r>
            <w:r>
              <w:rPr>
                <w:rFonts w:hint="eastAsia" w:ascii="仿宋" w:hAnsi="仿宋" w:eastAsia="仿宋" w:cs="仿宋"/>
                <w:i w:val="0"/>
                <w:color w:val="000000" w:themeColor="text1"/>
                <w:sz w:val="22"/>
                <w:szCs w:val="22"/>
                <w:highlight w:val="none"/>
                <w:u w:val="none"/>
                <w:lang w:eastAsia="zh-CN"/>
                <w14:textFill>
                  <w14:solidFill>
                    <w14:schemeClr w14:val="tx1"/>
                  </w14:solidFill>
                </w14:textFill>
              </w:rPr>
              <w:t>、</w:t>
            </w: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市</w:t>
            </w: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下达任务</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879" w:hRule="atLeast"/>
          <w:jc w:val="center"/>
        </w:trPr>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b/>
                <w:i w:val="0"/>
                <w:color w:val="000000" w:themeColor="text1"/>
                <w:sz w:val="22"/>
                <w:szCs w:val="22"/>
                <w:highlight w:val="none"/>
                <w:u w:val="none"/>
                <w14:textFill>
                  <w14:solidFill>
                    <w14:schemeClr w14:val="tx1"/>
                  </w14:solidFill>
                </w14:textFill>
              </w:rPr>
            </w:pPr>
          </w:p>
        </w:tc>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52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单位生产总值二氧化碳排放降低（%）</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未下达任务</w:t>
            </w:r>
          </w:p>
        </w:tc>
        <w:tc>
          <w:tcPr>
            <w:tcW w:w="2328" w:type="dxa"/>
            <w:gridSpan w:val="2"/>
            <w:vMerge w:val="continue"/>
            <w:tcBorders>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完成省</w:t>
            </w:r>
            <w:r>
              <w:rPr>
                <w:rFonts w:hint="eastAsia" w:ascii="仿宋" w:hAnsi="仿宋" w:eastAsia="仿宋" w:cs="仿宋"/>
                <w:i w:val="0"/>
                <w:color w:val="000000" w:themeColor="text1"/>
                <w:sz w:val="22"/>
                <w:szCs w:val="22"/>
                <w:highlight w:val="none"/>
                <w:u w:val="none"/>
                <w:lang w:eastAsia="zh-CN"/>
                <w14:textFill>
                  <w14:solidFill>
                    <w14:schemeClr w14:val="tx1"/>
                  </w14:solidFill>
                </w14:textFill>
              </w:rPr>
              <w:t>、</w:t>
            </w:r>
            <w:r>
              <w:rPr>
                <w:rFonts w:hint="eastAsia" w:ascii="仿宋" w:hAnsi="仿宋" w:eastAsia="仿宋" w:cs="仿宋"/>
                <w:i w:val="0"/>
                <w:color w:val="000000" w:themeColor="text1"/>
                <w:sz w:val="22"/>
                <w:szCs w:val="22"/>
                <w:highlight w:val="none"/>
                <w:u w:val="none"/>
                <w:lang w:val="en-US" w:eastAsia="zh-CN"/>
                <w14:textFill>
                  <w14:solidFill>
                    <w14:schemeClr w14:val="tx1"/>
                  </w14:solidFill>
                </w14:textFill>
              </w:rPr>
              <w:t>市</w:t>
            </w: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下达任务</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879" w:hRule="atLeast"/>
          <w:jc w:val="center"/>
        </w:trPr>
        <w:tc>
          <w:tcPr>
            <w:tcW w:w="85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26</w:t>
            </w:r>
          </w:p>
        </w:tc>
        <w:tc>
          <w:tcPr>
            <w:tcW w:w="1622"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主要污染物排放总量控制</w:t>
            </w:r>
          </w:p>
        </w:tc>
        <w:tc>
          <w:tcPr>
            <w:tcW w:w="152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化学需氧量（万吨）</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1.73</w:t>
            </w:r>
          </w:p>
        </w:tc>
        <w:tc>
          <w:tcPr>
            <w:tcW w:w="2328" w:type="dxa"/>
            <w:gridSpan w:val="2"/>
            <w:vMerge w:val="restart"/>
            <w:tcBorders>
              <w:top w:val="single" w:color="000000" w:sz="4" w:space="0"/>
              <w:left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完成省、市下达任务</w:t>
            </w: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完成市考核指标</w:t>
            </w:r>
          </w:p>
        </w:tc>
        <w:tc>
          <w:tcPr>
            <w:tcW w:w="1044" w:type="dxa"/>
            <w:vMerge w:val="restart"/>
            <w:tcBorders>
              <w:top w:val="single" w:color="000000" w:sz="4" w:space="0"/>
              <w:left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591" w:hRule="atLeast"/>
          <w:jc w:val="center"/>
        </w:trPr>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b/>
                <w:i w:val="0"/>
                <w:color w:val="000000" w:themeColor="text1"/>
                <w:sz w:val="22"/>
                <w:szCs w:val="22"/>
                <w:highlight w:val="none"/>
                <w:u w:val="none"/>
                <w14:textFill>
                  <w14:solidFill>
                    <w14:schemeClr w14:val="tx1"/>
                  </w14:solidFill>
                </w14:textFill>
              </w:rPr>
            </w:pPr>
          </w:p>
        </w:tc>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52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二氧化硫（万吨）</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0.071</w:t>
            </w:r>
          </w:p>
        </w:tc>
        <w:tc>
          <w:tcPr>
            <w:tcW w:w="2328" w:type="dxa"/>
            <w:gridSpan w:val="2"/>
            <w:vMerge w:val="continue"/>
            <w:tcBorders>
              <w:left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完成市考核指标</w:t>
            </w:r>
          </w:p>
        </w:tc>
        <w:tc>
          <w:tcPr>
            <w:tcW w:w="1044" w:type="dxa"/>
            <w:vMerge w:val="continue"/>
            <w:tcBorders>
              <w:left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r>
      <w:tr>
        <w:tblPrEx>
          <w:tblCellMar>
            <w:top w:w="0" w:type="dxa"/>
            <w:left w:w="0" w:type="dxa"/>
            <w:bottom w:w="0" w:type="dxa"/>
            <w:right w:w="0" w:type="dxa"/>
          </w:tblCellMar>
        </w:tblPrEx>
        <w:trPr>
          <w:trHeight w:val="327" w:hRule="atLeast"/>
          <w:jc w:val="center"/>
        </w:trPr>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b/>
                <w:i w:val="0"/>
                <w:color w:val="000000" w:themeColor="text1"/>
                <w:sz w:val="22"/>
                <w:szCs w:val="22"/>
                <w:highlight w:val="none"/>
                <w:u w:val="none"/>
                <w14:textFill>
                  <w14:solidFill>
                    <w14:schemeClr w14:val="tx1"/>
                  </w14:solidFill>
                </w14:textFill>
              </w:rPr>
            </w:pPr>
          </w:p>
        </w:tc>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52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氨氮（万吨）</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0.21</w:t>
            </w:r>
          </w:p>
        </w:tc>
        <w:tc>
          <w:tcPr>
            <w:tcW w:w="2328" w:type="dxa"/>
            <w:gridSpan w:val="2"/>
            <w:vMerge w:val="continue"/>
            <w:tcBorders>
              <w:left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完成市考核指标</w:t>
            </w:r>
          </w:p>
        </w:tc>
        <w:tc>
          <w:tcPr>
            <w:tcW w:w="1044" w:type="dxa"/>
            <w:vMerge w:val="continue"/>
            <w:tcBorders>
              <w:left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r>
      <w:tr>
        <w:tblPrEx>
          <w:shd w:val="clear" w:color="auto" w:fill="FFFFFF" w:themeFill="background1"/>
          <w:tblCellMar>
            <w:top w:w="0" w:type="dxa"/>
            <w:left w:w="0" w:type="dxa"/>
            <w:bottom w:w="0" w:type="dxa"/>
            <w:right w:w="0" w:type="dxa"/>
          </w:tblCellMar>
        </w:tblPrEx>
        <w:trPr>
          <w:trHeight w:val="591" w:hRule="atLeast"/>
          <w:jc w:val="center"/>
        </w:trPr>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b/>
                <w:i w:val="0"/>
                <w:color w:val="000000" w:themeColor="text1"/>
                <w:sz w:val="22"/>
                <w:szCs w:val="22"/>
                <w:highlight w:val="none"/>
                <w:u w:val="none"/>
                <w14:textFill>
                  <w14:solidFill>
                    <w14:schemeClr w14:val="tx1"/>
                  </w14:solidFill>
                </w14:textFill>
              </w:rPr>
            </w:pPr>
          </w:p>
        </w:tc>
        <w:tc>
          <w:tcPr>
            <w:tcW w:w="162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152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氮氧化物（万吨）</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0.017</w:t>
            </w:r>
          </w:p>
        </w:tc>
        <w:tc>
          <w:tcPr>
            <w:tcW w:w="2328" w:type="dxa"/>
            <w:gridSpan w:val="2"/>
            <w:vMerge w:val="continue"/>
            <w:tcBorders>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完成市考核指标</w:t>
            </w:r>
          </w:p>
        </w:tc>
        <w:tc>
          <w:tcPr>
            <w:tcW w:w="1044" w:type="dxa"/>
            <w:vMerge w:val="continue"/>
            <w:tcBorders>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jc w:val="center"/>
              <w:rPr>
                <w:rFonts w:hint="eastAsia" w:ascii="仿宋" w:hAnsi="仿宋" w:eastAsia="仿宋" w:cs="仿宋"/>
                <w:i w:val="0"/>
                <w:color w:val="000000" w:themeColor="text1"/>
                <w:sz w:val="22"/>
                <w:szCs w:val="22"/>
                <w:highlight w:val="none"/>
                <w:u w:val="none"/>
                <w14:textFill>
                  <w14:solidFill>
                    <w14:schemeClr w14:val="tx1"/>
                  </w14:solidFill>
                </w14:textFill>
              </w:rPr>
            </w:pPr>
          </w:p>
        </w:tc>
      </w:tr>
      <w:tr>
        <w:tblPrEx>
          <w:tblCellMar>
            <w:top w:w="0" w:type="dxa"/>
            <w:left w:w="0" w:type="dxa"/>
            <w:bottom w:w="0" w:type="dxa"/>
            <w:right w:w="0" w:type="dxa"/>
          </w:tblCellMar>
        </w:tblPrEx>
        <w:trPr>
          <w:trHeight w:val="312"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27</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PM2.5浓度（微克/立方米）</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40</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35</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无检测</w:t>
            </w: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完成省下达任务</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327"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28</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城镇生活污水集中处理率（%）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80</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98</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4.2</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96.1</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3.7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327"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29</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城镇生活垃圾无害化处理率（%）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62</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95</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9</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100</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10.0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FFFFFF" w:themeFill="background1"/>
          <w:tblCellMar>
            <w:top w:w="0" w:type="dxa"/>
            <w:left w:w="0" w:type="dxa"/>
            <w:bottom w:w="0" w:type="dxa"/>
            <w:right w:w="0" w:type="dxa"/>
          </w:tblCellMar>
        </w:tblPrEx>
        <w:trPr>
          <w:trHeight w:val="327"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30</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森林覆盖率（%）</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41.14</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43.72</w:t>
            </w:r>
          </w:p>
        </w:tc>
        <w:tc>
          <w:tcPr>
            <w:tcW w:w="130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0.5以上</w:t>
            </w:r>
          </w:p>
        </w:tc>
        <w:tc>
          <w:tcPr>
            <w:tcW w:w="1424"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35.83</w:t>
            </w:r>
          </w:p>
        </w:tc>
        <w:tc>
          <w:tcPr>
            <w:tcW w:w="1359"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 xml:space="preserve">-2.7 </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约束性</w:t>
            </w:r>
          </w:p>
        </w:tc>
      </w:tr>
      <w:tr>
        <w:tblPrEx>
          <w:shd w:val="clear" w:color="auto" w:fill="FFFFFF" w:themeFill="background1"/>
          <w:tblCellMar>
            <w:top w:w="0" w:type="dxa"/>
            <w:left w:w="0" w:type="dxa"/>
            <w:bottom w:w="0" w:type="dxa"/>
            <w:right w:w="0" w:type="dxa"/>
          </w:tblCellMar>
        </w:tblPrEx>
        <w:trPr>
          <w:trHeight w:val="327" w:hRule="atLeast"/>
          <w:jc w:val="center"/>
        </w:trPr>
        <w:tc>
          <w:tcPr>
            <w:tcW w:w="855"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themeColor="text1"/>
                <w:sz w:val="22"/>
                <w:szCs w:val="22"/>
                <w:highlight w:val="none"/>
                <w:u w:val="none"/>
                <w14:textFill>
                  <w14:solidFill>
                    <w14:schemeClr w14:val="tx1"/>
                  </w14:solidFill>
                </w14:textFill>
              </w:rPr>
            </w:pPr>
            <w:r>
              <w:rPr>
                <w:rFonts w:hint="eastAsia" w:ascii="仿宋" w:hAnsi="仿宋" w:eastAsia="仿宋" w:cs="仿宋"/>
                <w:b/>
                <w:i w:val="0"/>
                <w:color w:val="000000" w:themeColor="text1"/>
                <w:kern w:val="0"/>
                <w:sz w:val="22"/>
                <w:szCs w:val="22"/>
                <w:highlight w:val="none"/>
                <w:u w:val="none"/>
                <w:lang w:val="en-US" w:eastAsia="zh-CN" w:bidi="ar"/>
                <w14:textFill>
                  <w14:solidFill>
                    <w14:schemeClr w14:val="tx1"/>
                  </w14:solidFill>
                </w14:textFill>
              </w:rPr>
              <w:t>31</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城市人均公园绿地面积（平方米）</w:t>
            </w:r>
          </w:p>
        </w:tc>
        <w:tc>
          <w:tcPr>
            <w:tcW w:w="868"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w:t>
            </w: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完成市下达任务</w:t>
            </w:r>
          </w:p>
        </w:tc>
        <w:tc>
          <w:tcPr>
            <w:tcW w:w="278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完成市下达任务</w:t>
            </w:r>
          </w:p>
        </w:tc>
        <w:tc>
          <w:tcPr>
            <w:tcW w:w="104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themeColor="text1"/>
                <w:sz w:val="22"/>
                <w:szCs w:val="22"/>
                <w:highlight w:val="none"/>
                <w:u w:val="none"/>
                <w14:textFill>
                  <w14:solidFill>
                    <w14:schemeClr w14:val="tx1"/>
                  </w14:solidFill>
                </w14:textFill>
              </w:rPr>
            </w:pPr>
            <w:r>
              <w:rPr>
                <w:rFonts w:hint="eastAsia" w:ascii="仿宋" w:hAnsi="仿宋" w:eastAsia="仿宋" w:cs="仿宋"/>
                <w:i w:val="0"/>
                <w:color w:val="000000" w:themeColor="text1"/>
                <w:kern w:val="0"/>
                <w:sz w:val="22"/>
                <w:szCs w:val="22"/>
                <w:highlight w:val="none"/>
                <w:u w:val="none"/>
                <w:lang w:val="en-US" w:eastAsia="zh-CN" w:bidi="ar"/>
                <w14:textFill>
                  <w14:solidFill>
                    <w14:schemeClr w14:val="tx1"/>
                  </w14:solidFill>
                </w14:textFill>
              </w:rPr>
              <w:t>预期性</w:t>
            </w:r>
          </w:p>
        </w:tc>
      </w:tr>
    </w:tbl>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Times New Roman"/>
          <w:color w:val="000000" w:themeColor="text1"/>
          <w:kern w:val="0"/>
          <w:szCs w:val="21"/>
          <w:highlight w:val="none"/>
          <w:lang w:val="en-US" w:eastAsia="zh-CN"/>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注：</w:t>
      </w:r>
      <w:r>
        <w:rPr>
          <w:rFonts w:hint="eastAsia" w:ascii="宋体" w:hAnsi="宋体" w:eastAsia="宋体" w:cs="Times New Roman"/>
          <w:color w:val="000000" w:themeColor="text1"/>
          <w:kern w:val="0"/>
          <w:szCs w:val="21"/>
          <w:highlight w:val="none"/>
          <w:lang w:val="en-US" w:eastAsia="zh-CN"/>
          <w14:textFill>
            <w14:solidFill>
              <w14:schemeClr w14:val="tx1"/>
            </w14:solidFill>
          </w14:textFill>
        </w:rPr>
        <w:t>1．〔〕内为5年累计数。</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default" w:ascii="宋体" w:hAnsi="宋体" w:eastAsia="宋体" w:cs="Times New Roman"/>
          <w:color w:val="000000" w:themeColor="text1"/>
          <w:kern w:val="0"/>
          <w:szCs w:val="21"/>
          <w:highlight w:val="none"/>
          <w:lang w:val="en-US" w:eastAsia="zh-CN"/>
          <w14:textFill>
            <w14:solidFill>
              <w14:schemeClr w14:val="tx1"/>
            </w14:solidFill>
          </w14:textFill>
        </w:rPr>
      </w:pPr>
      <w:r>
        <w:rPr>
          <w:rFonts w:hint="eastAsia" w:ascii="宋体" w:hAnsi="宋体" w:eastAsia="宋体" w:cs="Times New Roman"/>
          <w:color w:val="000000" w:themeColor="text1"/>
          <w:kern w:val="0"/>
          <w:szCs w:val="21"/>
          <w:highlight w:val="none"/>
          <w:lang w:val="en-US" w:eastAsia="zh-CN"/>
          <w14:textFill>
            <w14:solidFill>
              <w14:schemeClr w14:val="tx1"/>
            </w14:solidFill>
          </w14:textFill>
        </w:rPr>
        <w:t>2.2015年及“十三五”规划目标数据来自《汕尾统计年鉴》及《陆丰市国民经济和社会发展第十三个五年规划纲要》。</w:t>
      </w:r>
    </w:p>
    <w:p>
      <w:pPr>
        <w:spacing w:before="156" w:beforeLines="50" w:line="320" w:lineRule="exact"/>
        <w:ind w:firstLine="420" w:firstLineChars="200"/>
        <w:rPr>
          <w:rFonts w:hint="default" w:ascii="宋体" w:hAnsi="宋体" w:eastAsia="宋体"/>
          <w:color w:val="000000" w:themeColor="text1"/>
          <w:kern w:val="0"/>
          <w:szCs w:val="21"/>
          <w:highlight w:val="none"/>
          <w:lang w:val="en-US" w:eastAsia="zh-CN"/>
          <w14:textFill>
            <w14:solidFill>
              <w14:schemeClr w14:val="tx1"/>
            </w14:solidFill>
          </w14:textFill>
        </w:rPr>
      </w:pPr>
      <w:r>
        <w:rPr>
          <w:rFonts w:hint="eastAsia" w:ascii="宋体" w:hAnsi="宋体"/>
          <w:color w:val="000000" w:themeColor="text1"/>
          <w:kern w:val="0"/>
          <w:szCs w:val="21"/>
          <w:highlight w:val="none"/>
          <w:lang w:val="en-US" w:eastAsia="zh-CN"/>
          <w14:textFill>
            <w14:solidFill>
              <w14:schemeClr w14:val="tx1"/>
            </w14:solidFill>
          </w14:textFill>
        </w:rPr>
        <w:t>3.“十三五”实际增长”数据来自陆丰市相应部门。</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lang w:val="zh-CN"/>
          <w14:textFill>
            <w14:solidFill>
              <w14:schemeClr w14:val="tx1"/>
            </w14:solidFill>
          </w14:textFill>
        </w:rPr>
      </w:pPr>
      <w:bookmarkStart w:id="20" w:name="_Toc25076"/>
      <w:r>
        <w:rPr>
          <w:rFonts w:hint="eastAsia" w:ascii="黑体" w:hAnsi="黑体" w:eastAsia="黑体" w:cs="仿宋"/>
          <w:color w:val="000000" w:themeColor="text1"/>
          <w:sz w:val="32"/>
          <w:szCs w:val="32"/>
          <w:highlight w:val="none"/>
          <w14:textFill>
            <w14:solidFill>
              <w14:schemeClr w14:val="tx1"/>
            </w14:solidFill>
          </w14:textFill>
        </w:rPr>
        <w:t xml:space="preserve">第二节 </w:t>
      </w:r>
      <w:bookmarkEnd w:id="17"/>
      <w:r>
        <w:rPr>
          <w:rFonts w:hint="eastAsia" w:ascii="黑体" w:hAnsi="黑体" w:eastAsia="黑体" w:cs="仿宋"/>
          <w:color w:val="000000" w:themeColor="text1"/>
          <w:sz w:val="32"/>
          <w:szCs w:val="32"/>
          <w:highlight w:val="none"/>
          <w14:textFill>
            <w14:solidFill>
              <w14:schemeClr w14:val="tx1"/>
            </w14:solidFill>
          </w14:textFill>
        </w:rPr>
        <w:t>“十四五”时期我市面临重大机遇和挑战</w:t>
      </w:r>
      <w:bookmarkEnd w:id="18"/>
      <w:bookmarkEnd w:id="19"/>
      <w:bookmarkEnd w:id="20"/>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当前，我</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发展环境发生深刻变化，外部环境更趋复杂多变，</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国内</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面临构建以内循环为主、内外循环相互促进的新发展格局。“十四五”时期，</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将在全面建成小康社会基础上，乘势而上开启全面建设社会主义现代化新征程，</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未来五年</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既面临着新机遇，也面临着严峻挑战。</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一、发展机遇</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bookmarkStart w:id="21" w:name="_Hlk49495486"/>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党的十九届五中全会为</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陆丰发展</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指明了前进方向。</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全会深刻分析我国发展环境面临的深刻复杂变化，提出到二</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〇</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三五年基本实现社会主义现代化的远景目标，明确了“十四五”时期经济社会发展指导方针、主要目标和主要任务，强调要全面贯彻新发展理念，着力构建新发展格局。</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要在全国、全省</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和</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汕尾市中找准发展方位、优化发展策略、谋</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划</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重大抓手，在新发展阶段、新发展格局的大背景、大环境下，努力实现在跟跑中</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实现并跑</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在并跑中谋求超越，在现代化建设新征程中奋力裂变发展，实现蓝色崛起，在新发展阶段中贡献陆丰力量、展现陆丰担当。五中全会要求坚持把发展经济着力点放在实体经济上，坚定不移建设制造强国、质量强国、网络强国、数字中国，推进产业基础高级化、产业链现代化，提高经济质量效益和核心竞争力。</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要聚焦经济发展主责主业，抢占未来产业发展制高点，构建现代化经济体系。五中全会对未来发展蓝图的擘画，为</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深刻理解“十四五”时期发展环境，谋划做好各项工作提供了基本</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方向</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p>
    <w:p>
      <w:pPr>
        <w:pStyle w:val="6"/>
        <w:snapToGrid/>
        <w:spacing w:before="0" w:beforeAutospacing="0" w:after="0" w:afterAutospacing="0" w:line="600" w:lineRule="exact"/>
        <w:ind w:left="0" w:leftChars="0"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“特区带老区”</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对口帮扶</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政策红利持续释放。</w:t>
      </w:r>
      <w:bookmarkEnd w:id="21"/>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中央对革命老区的政策支持力度不断加大，省委、省政府出台《关于进一步推动我省革命老区和原中央苏区振兴发展的意见》，继续安排</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深圳罗湖区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全面对口帮扶</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陆丰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，为我市用好用活各级支持政策，善用特区和先行示范区建在家门口的区位优势，集聚整合各类要素资源，加快振兴发展提供了强力支撑。</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深圳都市圈建设助力</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陆丰</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腾飞。</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国家和</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省均明确将汕尾</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全市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纳入深圳都市圈建设范围，《深圳都市圈发展规划》正抓紧制定，深圳都市圈建设</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进入快速实施阶段。</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必须紧紧抓住深圳都市圈加快建设的重大战略机遇，按照“规划共绘、设施共建、产业共兴、资源共享、机制共活”的思路加快全面接轨深圳，深度融入深莞惠大都市区，推动经济社会实现高质量跨越式发展。</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陆丰“东承西接”的区位优势</w:t>
      </w:r>
      <w:r>
        <w:rPr>
          <w:rFonts w:hint="eastAsia" w:ascii="仿宋_GB2312" w:eastAsia="仿宋_GB2312"/>
          <w:b/>
          <w:bCs/>
          <w:i w:val="0"/>
          <w:caps w:val="0"/>
          <w:color w:val="000000" w:themeColor="text1"/>
          <w:spacing w:val="0"/>
          <w:w w:val="100"/>
          <w:sz w:val="32"/>
          <w:szCs w:val="32"/>
          <w:highlight w:val="none"/>
          <w:u w:val="none" w:color="auto"/>
          <w:lang w:val="en-US" w:eastAsia="zh-CN"/>
          <w14:textFill>
            <w14:solidFill>
              <w14:schemeClr w14:val="tx1"/>
            </w14:solidFill>
          </w14:textFill>
        </w:rPr>
        <w:t>进一步</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凸显</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bCs w:val="0"/>
          <w:i w:val="0"/>
          <w:caps w:val="0"/>
          <w:color w:val="000000" w:themeColor="text1"/>
          <w:spacing w:val="0"/>
          <w:w w:val="100"/>
          <w:sz w:val="32"/>
          <w:szCs w:val="32"/>
          <w:highlight w:val="none"/>
          <w:u w:val="none" w:color="auto"/>
          <w:lang w:val="en-US" w:eastAsia="zh-CN"/>
          <w14:textFill>
            <w14:solidFill>
              <w14:schemeClr w14:val="tx1"/>
            </w14:solidFill>
          </w14:textFill>
        </w:rPr>
        <w:t>我省</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正在举全省之力推进粤港澳大湾区和深圳中国特色社会主义先行示范区建设，通过扩大有效投资推动“一核一带一区”战略部署落地落实，以交通基础设施为先导促进沿海经济带东西两翼发展提速和培育发展极，深入探索珠三角和粤东西北区域合作新模式等，这为加快省内后发地区实现赶超发展，促进产业扩能增效、城市发展扩容提质和乡村振兴带来新机遇。广东区域发展格局正加快重塑。</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处于粤港澳大湾区向外辐射发展的第一圈层，是珠三角岸线向粤东延伸的重要战略支点，</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全面融入“湾区带”</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和东承“汕潮揭”都市圈</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新发展格局具有显著的区位和资源禀赋优势。</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市委市政府谋变破局，为</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陆丰</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奋进崛起增添动力。</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为加快改变</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发展落后现状，市委市政府正视差距，</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积极</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谋变破局。为在全省发展大局中找准陆丰定位、谋好陆丰位置，不添麻烦、不拖后腿、多做贡献，市委市政府强化责任担当，以“项目双进”、“双招双引”为抓手，着力抓好大项目、搭建大平台，坚持补短板强弱项推进基础设施建设，坚持打造“平安陆丰”，坚持全面深化改革，坚持统筹城乡区域协调发展，坚持推进社会民生事业，坚持党的全面领导，为推动陆丰裂变式高质量发展注入强大动力。</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二、主要的问题和挑战</w:t>
      </w:r>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总体来看，</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要取得</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更</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大的发展还需要进一步破解以下瓶颈制约。</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一是经济基础薄弱，经济总体规模偏小，产业层次不高，工业比重较低，主导产业不强，缺乏支撑发展、引领未来的大产业，重大项目储备和投资后劲不足，新旧动能转换较慢。二是长期面临珠三角城市对人才与产业要素的虹吸，与周边城市海丰、惠来等存在同质化竞争，创新创业基础环境薄弱，民生短板较多，人才外流现象严重，吸引资金、技术和人才等发展要素的难度较大。三是人口</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总量</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较多，城乡协调发展和城市管理水平较低，城市基础设施不够完善，城市形象欠佳，中心城区扩容提质压力较大。四是全域</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不平衡不充分问题比较突出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，城乡公共资源布局不够平衡，公共服务有效供给不足，各区域协同联动发展能力较弱。</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五是平衡经济发展和社会安全建设的任务较重，依然需要花大力度来加强应急管理，</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打造</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社会稳定和安全的营商环境。</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在成本和环境资源约束</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强化</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背景下，开发与保护矛盾</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也</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有所显现。保持经济快速发展、提升发展质量和效益存在较大压力。</w:t>
      </w:r>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bCs w:val="0"/>
          <w:i w:val="0"/>
          <w:caps w:val="0"/>
          <w:color w:val="000000" w:themeColor="text1"/>
          <w:spacing w:val="0"/>
          <w:w w:val="100"/>
          <w:sz w:val="32"/>
          <w:szCs w:val="32"/>
          <w:highlight w:val="none"/>
          <w:u w:val="none" w:color="auto"/>
          <w:lang w:val="zh-CN"/>
          <w14:textFill>
            <w14:solidFill>
              <w14:schemeClr w14:val="tx1"/>
            </w14:solidFill>
          </w14:textFill>
        </w:rPr>
        <w:t>综合判断</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，“十四五”时期，</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我市发展</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虽然面临更加错综复杂</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内外环境，发展机遇和风险挑战反复交织，但依然是实现</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裂变</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发展的重要机遇期和窗口期。总体来看机遇大于挑战，经济社会发展稳中向好、长期向好的基本趋势没有改变，应对重大风险和挑战的韧性明显增强，“融湾强带”的政策利好持续</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释放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。站在新的历史起点，面对发展大势的深刻变化，我们要保持战略定力，化挑战为机遇、变压力为动力，以改革创新的思维，迎难而上推动经济社会</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裂变</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发展。</w:t>
      </w: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pPr>
      <w:bookmarkStart w:id="22" w:name="_Toc7769"/>
      <w:bookmarkStart w:id="23" w:name="_Toc22258"/>
      <w:bookmarkStart w:id="24" w:name="_Toc16407"/>
      <w:bookmarkStart w:id="25" w:name="_Toc27657"/>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第二章 </w:t>
      </w:r>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总体要求</w:t>
      </w:r>
      <w:bookmarkEnd w:id="22"/>
      <w:bookmarkEnd w:id="23"/>
      <w:bookmarkEnd w:id="24"/>
      <w:bookmarkEnd w:id="25"/>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全面贯彻落实中央</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及省市的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重大战略决策部署，针对</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推进我市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裂变式</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高质量发展</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过程中可能出现的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经济社会新趋势和新问题，围绕</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总体</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发展</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定位，</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进一步</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明确“</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十四五</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时期发展的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指导思想、基本原则和发展目标。</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lang w:val="zh-CN"/>
          <w14:textFill>
            <w14:solidFill>
              <w14:schemeClr w14:val="tx1"/>
            </w14:solidFill>
          </w14:textFill>
        </w:rPr>
      </w:pPr>
      <w:bookmarkStart w:id="26" w:name="_Toc3028"/>
      <w:bookmarkStart w:id="27" w:name="_Toc2418"/>
      <w:bookmarkStart w:id="28" w:name="_Toc12896"/>
      <w:bookmarkStart w:id="29" w:name="_Toc6863"/>
      <w:r>
        <w:rPr>
          <w:rFonts w:hint="eastAsia" w:ascii="黑体" w:hAnsi="黑体" w:eastAsia="黑体" w:cs="仿宋"/>
          <w:color w:val="000000" w:themeColor="text1"/>
          <w:sz w:val="32"/>
          <w:szCs w:val="32"/>
          <w:highlight w:val="none"/>
          <w14:textFill>
            <w14:solidFill>
              <w14:schemeClr w14:val="tx1"/>
            </w14:solidFill>
          </w14:textFill>
        </w:rPr>
        <w:t xml:space="preserve">第一节 </w:t>
      </w:r>
      <w:r>
        <w:rPr>
          <w:rFonts w:hint="eastAsia" w:ascii="黑体" w:hAnsi="黑体" w:eastAsia="黑体" w:cs="仿宋"/>
          <w:color w:val="000000" w:themeColor="text1"/>
          <w:sz w:val="32"/>
          <w:szCs w:val="32"/>
          <w:highlight w:val="none"/>
          <w:lang w:val="zh-CN"/>
          <w14:textFill>
            <w14:solidFill>
              <w14:schemeClr w14:val="tx1"/>
            </w14:solidFill>
          </w14:textFill>
        </w:rPr>
        <w:t>指导思想</w:t>
      </w:r>
      <w:bookmarkEnd w:id="26"/>
      <w:bookmarkEnd w:id="27"/>
      <w:bookmarkEnd w:id="28"/>
      <w:bookmarkEnd w:id="29"/>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高举中国特色社会主义伟大旗帜，</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以习近平新时代中国特色社会主义思想为指导，全面贯彻党的十九大和十九届二中、三中、四中、五中全会精神，深入贯彻习近平总书记对广东重要讲话和重要指示批示精神，统筹推进“五位一体”总体布局，协调推进“四个全面”战略布局，坚持新发展理念</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坚持稳中求进工作总基调。以深化供给侧结构性改革为主线，以创新为根本动力，以满足人民</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对</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日益增长的美好生活需要为根本目的，统筹发展和安全，围绕“</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奋力裂变发展</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，实现蓝色崛起</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”总目标，突出当好粤东蓝色崛起示范区、汕尾高质量发展新引擎，</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生态宜居宜业宜游滨海城市。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向西</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全面接轨深圳，全力融入“双区”，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向东全面对接汕头、携手汕潮揭，在东承西接中，</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努力融入以国内大循环为主体、国内国际双循环相互促进的新发展格局。以</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完善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基础设施建设、提升城市能级和培育园区经济为抓手，加强革命老区建设，着力推进</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经济发展和</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民生改善，坚决守住环保和社会稳定两条底线，确保社会主义现代化建设新征程开好局，将</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打造为深圳都市圈与汕潮揭都市圈有机衔接的枢纽城市，</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为汕尾市加快建设沿海经济带靓丽明珠，为我省在全面建设社会主义现代化国家新征程上走在全国前列、创造新辉煌作出陆丰贡献。</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lang w:val="zh-CN"/>
          <w14:textFill>
            <w14:solidFill>
              <w14:schemeClr w14:val="tx1"/>
            </w14:solidFill>
          </w14:textFill>
        </w:rPr>
      </w:pPr>
      <w:bookmarkStart w:id="30" w:name="_Toc235"/>
      <w:bookmarkStart w:id="31" w:name="_Toc31583"/>
      <w:bookmarkStart w:id="32" w:name="_Toc22357"/>
      <w:bookmarkStart w:id="33" w:name="_Toc1537"/>
      <w:r>
        <w:rPr>
          <w:rFonts w:hint="eastAsia" w:ascii="黑体" w:hAnsi="黑体" w:eastAsia="黑体" w:cs="仿宋"/>
          <w:color w:val="000000" w:themeColor="text1"/>
          <w:sz w:val="32"/>
          <w:szCs w:val="32"/>
          <w:highlight w:val="none"/>
          <w14:textFill>
            <w14:solidFill>
              <w14:schemeClr w14:val="tx1"/>
            </w14:solidFill>
          </w14:textFill>
        </w:rPr>
        <w:t xml:space="preserve">第二节 </w:t>
      </w:r>
      <w:r>
        <w:rPr>
          <w:rFonts w:hint="eastAsia" w:ascii="黑体" w:hAnsi="黑体" w:eastAsia="黑体" w:cs="仿宋"/>
          <w:color w:val="000000" w:themeColor="text1"/>
          <w:sz w:val="32"/>
          <w:szCs w:val="32"/>
          <w:highlight w:val="none"/>
          <w:lang w:val="zh-CN"/>
          <w14:textFill>
            <w14:solidFill>
              <w14:schemeClr w14:val="tx1"/>
            </w14:solidFill>
          </w14:textFill>
        </w:rPr>
        <w:t>基本原则</w:t>
      </w:r>
      <w:bookmarkEnd w:id="30"/>
      <w:bookmarkEnd w:id="31"/>
      <w:bookmarkEnd w:id="32"/>
      <w:bookmarkEnd w:id="33"/>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——坚持党的全面领导。</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坚决贯彻落实</w:t>
      </w:r>
      <w:r>
        <w:rPr>
          <w:rFonts w:hint="c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两个维护</w:t>
      </w:r>
      <w:r>
        <w:rPr>
          <w:rFonts w:hint="c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，坚持和完善党领导经济社会发展的体制机制，不断提高贯彻新发展理念、构建新发展格局能力和水平，</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发挥党员带头作用，着力</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打造一支讲政治、敢担当、守纪律、树正气、重团结、抓落实</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“狮子型”</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干部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队伍，为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裂变</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发展提供根本</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保障</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——坚持以人民为中心。</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坚持共同富裕方向，始终做到发展为了人民、发展依靠人民、发展成果由人民共享，维护人民根本利益。</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加快推动城市基本公共服务向乡村延伸</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优化分配机制，不断提升农民的工资性</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产品型、转移性</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和财产性</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四大</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收入，</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激发全市人民的积极性、主动性、创造性，促进社会公平，增进民生福祉，不断实现人民群众对美好生活的向往。</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——坚持新发展理念。</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把新发展理念贯穿发展全过程和各领域，</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积极</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探索构建新发展格局。切实转变发展方式，加快推动质量变革、效率变革、动力变革，实现更高质量、更有效率、更加公平、更可持续、更为安全的发展。</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优化市域各板块交通联系，推动三甲地区一体化，碣石镇打造市域副中心，着力破解市域发展不平衡不充分问题，支撑陆丰构建区域性</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微循环</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内部循环，</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提升整体发展效率</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——坚持深化改革开放。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深入学习</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借鉴</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深圳等经济特区建设经验，加强治理体系和治理能力现代化建设，破除制约高质量发展、高品质生活的体制机制障碍。</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加快机构改革步伐，</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推进与“双区”政策接轨，推动更多政务服务事项与“双区”实现跨城通办。</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推动土地、劳动力、资本、技术、数据五个要素市场化配置改革</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和“5+2”农村综合改革，</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强化有利于提高资源配置效率、有利于调动全社会积极性的重大改革开放举措，持续增强发展动力和活力。</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围绕</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风清气正的政治生态、活力四射的经济生态、山清水秀的自然生态、百花齐放的文化生态、文明和谐的社会生态</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建设，营造有利于现代化建设的营商环境。</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——坚持系统观念。</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加强前瞻性思考、全局性谋划、战略性布局、整体性推进，坚决服从服务国家省市发展大局。坚持全市一盘棋，</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强化</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禁毒、打假、打击走私、海湾线、海上安全</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等方面的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社会管理和安全</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治理</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深入落实</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湾长制、港长制、澳长制，船长</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制</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推动形成</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海上网格化管理。着力固根基、扬优势、补短板、强弱项，注重防范化解重大风险挑战，实现发展质量、结构、规模、速度、效益、安全相统一。</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lang w:val="zh-CN"/>
          <w14:textFill>
            <w14:solidFill>
              <w14:schemeClr w14:val="tx1"/>
            </w14:solidFill>
          </w14:textFill>
        </w:rPr>
      </w:pPr>
      <w:bookmarkStart w:id="34" w:name="_Toc2948"/>
      <w:bookmarkStart w:id="35" w:name="_Toc8663"/>
      <w:bookmarkStart w:id="36" w:name="_Toc22325"/>
      <w:bookmarkStart w:id="37" w:name="_Toc21491"/>
      <w:r>
        <w:rPr>
          <w:rFonts w:hint="eastAsia" w:ascii="黑体" w:hAnsi="黑体" w:eastAsia="黑体" w:cs="仿宋"/>
          <w:color w:val="000000" w:themeColor="text1"/>
          <w:sz w:val="32"/>
          <w:szCs w:val="32"/>
          <w:highlight w:val="none"/>
          <w14:textFill>
            <w14:solidFill>
              <w14:schemeClr w14:val="tx1"/>
            </w14:solidFill>
          </w14:textFill>
        </w:rPr>
        <w:t xml:space="preserve">第三节 </w:t>
      </w:r>
      <w:r>
        <w:rPr>
          <w:rFonts w:hint="eastAsia" w:ascii="黑体" w:hAnsi="黑体" w:eastAsia="黑体" w:cs="仿宋"/>
          <w:color w:val="000000" w:themeColor="text1"/>
          <w:sz w:val="32"/>
          <w:szCs w:val="32"/>
          <w:highlight w:val="none"/>
          <w:lang w:val="zh-CN"/>
          <w14:textFill>
            <w14:solidFill>
              <w14:schemeClr w14:val="tx1"/>
            </w14:solidFill>
          </w14:textFill>
        </w:rPr>
        <w:t>发展目标</w:t>
      </w:r>
      <w:bookmarkEnd w:id="34"/>
      <w:bookmarkEnd w:id="35"/>
      <w:bookmarkEnd w:id="36"/>
      <w:bookmarkEnd w:id="37"/>
    </w:p>
    <w:p>
      <w:pPr>
        <w:pStyle w:val="59"/>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展望二〇三五年，</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将与全国全省</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及汕尾市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同步基本实现社会主义现代化。</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与深圳都市圈同城化水平全面提升，融入“双区”高质量一体化发展格局全面形成。经济裂变发展迈上新的大台阶，人均生产总值与全国、全省平均水平的差距缩小，全市经济实力、创新能力、综合竞争力大幅提升，基础设施实现更高水平互联互通，基本实现新型工业化、信息化、城镇化、农业现代化，建成现代化经济体系；社会文明达到新的高度，文化软实力显著增强，实现教育现代化；基本实现治理体系和治理能力现代化，平安陆丰建设达到更高水平；城乡一体化融合发展和居民生活水平显著提升，基本实现基本公共服务均等化，基本实现幼有养育、学有优教、劳有厚得、病有良医、老有颐养、住有宜居、弱有众扶，人民生活更加美好。</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今后五年要努力实现以下主要目标。</w:t>
      </w:r>
    </w:p>
    <w:p>
      <w:pPr>
        <w:snapToGrid/>
        <w:spacing w:before="0" w:beforeAutospacing="0" w:after="0" w:afterAutospacing="0" w:line="600" w:lineRule="exact"/>
        <w:ind w:firstLine="643" w:firstLineChars="200"/>
        <w:jc w:val="both"/>
        <w:textAlignment w:val="baseline"/>
        <w:rPr>
          <w:rFonts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——经济发展质量效益大幅提升。</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地区生产总值稳步增长，到2025年，地区生产总值（GDP）达到</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570</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亿元，</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年均增长7.5%左右，</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保持高于全国、全省平均水平的中高速增长，</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经济发展</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质量效益</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提升幅度高于粤东西北地区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平均水平</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交通环网，形成</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区域性</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综合交通枢纽，公路网体系和港口布局进一步合理完善，</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加快</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融入汕尾市“半小时经济圈”以及粤港澳大湾区“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一</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小时经济圈”步伐。先进制造业、现代服务业发展水平不断提高，传统产业</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加快转型升级</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，全面建成陆丰核电、</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火电</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及海上风电</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项目</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，新能源产业</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进一步壮大</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夯实</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。农业现代化取得明显进展，旅游业发展壮大，海洋</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经济及数字经济初步形成规模。</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新产业、新业态发展活跃，现代产业与珠三角融合发展取得明显成效。供与需、内与外、城乡区域发展更趋平衡更加协调，</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综合实力迈上新台阶，发展质量和效益明显提升。</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——改革开放迈出新步伐。</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国企国资改革、现代财税体制改革、投融资体制机制</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创新、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机构改革</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数字</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政府建设等</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重要领域和关键环节改革取得突破性进展。</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市场主体更加充满活力，要素市场化配置改革取得重大进展，</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公平竞争制度更加健全，高标准市场体系基本建成</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。以面向粤港澳大湾区深圳都市圈的开放合作为主线，形成内外双向开放发展新格局，</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建成深圳都市圈重要节点城市，形成开放型经济发展新高地，“八个便利”和“六个通办”的</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营商环境不断优化。</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内外互联互通设施更加完善，开放平台辐射带动作用显著增强，实现人才、技术、资本、信息等各要素在</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陆丰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融合聚变。</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——社会文明程度不断提高。</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社会主义核心价值观深入人心，基础设施进一步优化，有效适应经济社会发展需要。岭南、客家、潮汕</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等</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优秀传统文化</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得到发扬</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革命老区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红色文化传承不断推进，公共文化体育服务体系不断完善，正字戏、皮影戏、英歌舞、滚地金龙</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等国家级非物质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文化</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遗产文化</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产业体系更加健全，人民精神文化生活日益丰富，以文化人、以文惠民、以文兴业深入开展，文化引领支撑和涵养滋润作用突显，文化强市建设初显成效，文化软实力明显增强，文化自信更加坚定。</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——生态文明建设水平不断提升。</w:t>
      </w:r>
      <w:r>
        <w:rPr>
          <w:rFonts w:hint="eastAsia" w:ascii="仿宋_GB2312" w:eastAsia="仿宋_GB2312"/>
          <w:b w:val="0"/>
          <w:bCs w:val="0"/>
          <w:i w:val="0"/>
          <w:caps w:val="0"/>
          <w:color w:val="000000" w:themeColor="text1"/>
          <w:spacing w:val="0"/>
          <w:w w:val="100"/>
          <w:sz w:val="32"/>
          <w:szCs w:val="32"/>
          <w:highlight w:val="none"/>
          <w:u w:val="none" w:color="auto"/>
          <w:lang w:val="en-US" w:eastAsia="zh-CN"/>
          <w14:textFill>
            <w14:solidFill>
              <w14:schemeClr w14:val="tx1"/>
            </w14:solidFill>
          </w14:textFill>
        </w:rPr>
        <w:t>形成更加</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清晰合理、优势互补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国土空间开发</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与</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保护格局，生产生活方式绿色</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低碳</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转型成效显著，能源资源利用效率大幅提高，生态文明建设体系基本完善，产业结构低耗、合理、高效，“生态-健康-养生-宜居”产业体系联动发展。城乡饮用水源水质稳定安全达标，空气质量和海岸生态总体保持良好。城乡人居环境明显改善，粤港澳大湾区后花园基本建成，生态环境优势进一步彰显。园林城市、森林城市创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成效显著</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，如期创建广东省县级文明城市</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和</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卫生城市。</w:t>
      </w:r>
    </w:p>
    <w:p>
      <w:pPr>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——民生福祉质量不断提高。</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城市扩容提质步伐加快，城镇化水平进一步提高，城市品质和功能不断提升，产城融合不断深化，美丽乡村建设加快推进，</w:t>
      </w:r>
      <w:r>
        <w:rPr>
          <w:rFonts w:eastAsia="仿宋_GB2312"/>
          <w:b w:val="0"/>
          <w:i w:val="0"/>
          <w:caps w:val="0"/>
          <w:color w:val="000000" w:themeColor="text1"/>
          <w:spacing w:val="0"/>
          <w:w w:val="100"/>
          <w:sz w:val="32"/>
          <w:szCs w:val="32"/>
          <w:highlight w:val="none"/>
          <w:u w:val="none" w:color="auto"/>
          <w14:textFill>
            <w14:solidFill>
              <w14:schemeClr w14:val="tx1"/>
            </w14:solidFill>
          </w14:textFill>
        </w:rPr>
        <w:t>乡村振兴战略全面推进，</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城乡环境进一步改善，城乡发展一体化水平不断提高，</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进一步夯实</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宜居宜业、绿色、智慧、人文的现代滨海城市</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基础</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科技、教育、文化、卫生、体育等社会事业全面发展，社会保障更加公平完善。教育水平和人口素质进一步提高，高中阶段教育毛入学率达到95%以上。城乡居民基本养老保险参保率达到95%以上，城乡基本医疗参保率达到98%以上，新型农村合作医疗参保率达到99%。实现</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城乡</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基本公共服务均等化和社会保障城乡一体化，</w:t>
      </w:r>
      <w:r>
        <w:rPr>
          <w:rFonts w:eastAsia="仿宋_GB2312"/>
          <w:b w:val="0"/>
          <w:i w:val="0"/>
          <w:caps w:val="0"/>
          <w:color w:val="000000" w:themeColor="text1"/>
          <w:spacing w:val="0"/>
          <w:w w:val="100"/>
          <w:sz w:val="32"/>
          <w:szCs w:val="32"/>
          <w:highlight w:val="none"/>
          <w:u w:val="none" w:color="auto"/>
          <w14:textFill>
            <w14:solidFill>
              <w14:schemeClr w14:val="tx1"/>
            </w14:solidFill>
          </w14:textFill>
        </w:rPr>
        <w:t>人民生活水平更加富裕</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——社会治理水平不断提升。</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依法治市取得显著成效，公民文明素质和社会文明程度明显提高，管理更加精细化、科学化、规范化，社会治理体系更加完善，社会大局保持和谐稳定，</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意识形态安全得到有力维护。</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法治陆丰、平安陆丰、无毒陆丰建设</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取</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得新成效，“五治一体”基层治理体系成熟定型，围绕政治更安全、社会更安定、人民更安宁“三大目标”，市域治理主动仗和平安建设翻身仗“两场大仗”</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取得明显效果</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人民合法权益得到切实保障。</w:t>
      </w:r>
    </w:p>
    <w:tbl>
      <w:tblPr>
        <w:tblStyle w:val="25"/>
        <w:tblW w:w="9876" w:type="dxa"/>
        <w:jc w:val="center"/>
        <w:shd w:val="clear" w:color="auto" w:fill="auto"/>
        <w:tblLayout w:type="fixed"/>
        <w:tblCellMar>
          <w:top w:w="0" w:type="dxa"/>
          <w:left w:w="0" w:type="dxa"/>
          <w:bottom w:w="0" w:type="dxa"/>
          <w:right w:w="0" w:type="dxa"/>
        </w:tblCellMar>
      </w:tblPr>
      <w:tblGrid>
        <w:gridCol w:w="960"/>
        <w:gridCol w:w="4822"/>
        <w:gridCol w:w="1238"/>
        <w:gridCol w:w="1200"/>
        <w:gridCol w:w="924"/>
        <w:gridCol w:w="732"/>
      </w:tblGrid>
      <w:tr>
        <w:tblPrEx>
          <w:shd w:val="clear" w:color="auto" w:fill="auto"/>
          <w:tblCellMar>
            <w:top w:w="0" w:type="dxa"/>
            <w:left w:w="0" w:type="dxa"/>
            <w:bottom w:w="0" w:type="dxa"/>
            <w:right w:w="0" w:type="dxa"/>
          </w:tblCellMar>
        </w:tblPrEx>
        <w:trPr>
          <w:trHeight w:val="318" w:hRule="atLeast"/>
          <w:jc w:val="center"/>
        </w:trPr>
        <w:tc>
          <w:tcPr>
            <w:tcW w:w="9876" w:type="dxa"/>
            <w:gridSpan w:val="6"/>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1"/>
                <w:szCs w:val="21"/>
                <w:highlight w:val="none"/>
                <w:u w:val="none"/>
                <w14:textFill>
                  <w14:solidFill>
                    <w14:schemeClr w14:val="tx1"/>
                  </w14:solidFill>
                </w14:textFill>
              </w:rPr>
            </w:pPr>
            <w:bookmarkStart w:id="38" w:name="_Toc32236"/>
            <w:bookmarkStart w:id="39" w:name="_Toc5560"/>
            <w:bookmarkStart w:id="40" w:name="_Toc16579"/>
            <w:r>
              <w:rPr>
                <w:rFonts w:hint="default" w:ascii="方正小标宋简体" w:hAnsi="黑体" w:eastAsia="方正小标宋简体" w:cs="Times New Roman"/>
                <w:color w:val="000000" w:themeColor="text1"/>
                <w:kern w:val="0"/>
                <w:sz w:val="32"/>
                <w:szCs w:val="32"/>
                <w:highlight w:val="none"/>
                <w:lang w:val="en-US" w:eastAsia="zh-CN"/>
                <w14:textFill>
                  <w14:solidFill>
                    <w14:schemeClr w14:val="tx1"/>
                  </w14:solidFill>
                </w14:textFill>
              </w:rPr>
              <w:t>表2 陆丰市“十四五”经济社会发展主要指标表</w:t>
            </w:r>
          </w:p>
        </w:tc>
      </w:tr>
      <w:tr>
        <w:tblPrEx>
          <w:tblCellMar>
            <w:top w:w="0" w:type="dxa"/>
            <w:left w:w="0" w:type="dxa"/>
            <w:bottom w:w="0" w:type="dxa"/>
            <w:right w:w="0" w:type="dxa"/>
          </w:tblCellMar>
        </w:tblPrEx>
        <w:trPr>
          <w:trHeight w:val="606"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序号</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指   标</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2020</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2025</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年均增长（%）</w:t>
            </w: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属性</w:t>
            </w:r>
          </w:p>
        </w:tc>
      </w:tr>
      <w:tr>
        <w:tblPrEx>
          <w:shd w:val="clear" w:color="auto" w:fill="auto"/>
          <w:tblCellMar>
            <w:top w:w="0" w:type="dxa"/>
            <w:left w:w="0" w:type="dxa"/>
            <w:bottom w:w="0" w:type="dxa"/>
            <w:right w:w="0" w:type="dxa"/>
          </w:tblCellMar>
        </w:tblPrEx>
        <w:trPr>
          <w:trHeight w:val="303" w:hRule="atLeast"/>
          <w:jc w:val="center"/>
        </w:trPr>
        <w:tc>
          <w:tcPr>
            <w:tcW w:w="9876" w:type="dxa"/>
            <w:gridSpan w:val="6"/>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一、经济发展</w:t>
            </w:r>
          </w:p>
        </w:tc>
      </w:tr>
      <w:tr>
        <w:tblPrEx>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1</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地区生产总值（亿）</w:t>
            </w:r>
          </w:p>
        </w:tc>
        <w:tc>
          <w:tcPr>
            <w:tcW w:w="1238" w:type="dxa"/>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360.1</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2"/>
                <w:szCs w:val="22"/>
                <w:highlight w:val="none"/>
                <w:u w:val="none"/>
                <w:lang w:val="en-US"/>
                <w14:textFill>
                  <w14:solidFill>
                    <w14:schemeClr w14:val="tx1"/>
                  </w14:solidFill>
                </w14:textFill>
              </w:rPr>
            </w:pP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570</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7.5</w:t>
            </w: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auto"/>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2</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全员劳动生产率（</w:t>
            </w:r>
            <w:r>
              <w:rPr>
                <w:rFonts w:hint="eastAsia" w:cs="Times New Roman"/>
                <w:i w:val="0"/>
                <w:color w:val="000000" w:themeColor="text1"/>
                <w:kern w:val="0"/>
                <w:sz w:val="22"/>
                <w:szCs w:val="22"/>
                <w:highlight w:val="none"/>
                <w:u w:val="none"/>
                <w:lang w:val="en-US" w:eastAsia="zh-CN" w:bidi="ar"/>
                <w14:textFill>
                  <w14:solidFill>
                    <w14:schemeClr w14:val="tx1"/>
                  </w14:solidFill>
                </w14:textFill>
              </w:rPr>
              <w:t>万</w:t>
            </w:r>
            <w:r>
              <w:rPr>
                <w:rStyle w:val="68"/>
                <w:rFonts w:hint="eastAsia"/>
                <w:color w:val="000000" w:themeColor="text1"/>
                <w:highlight w:val="none"/>
                <w:lang w:val="en-US" w:eastAsia="zh-CN" w:bidi="ar"/>
                <w14:textFill>
                  <w14:solidFill>
                    <w14:schemeClr w14:val="tx1"/>
                  </w14:solidFill>
                </w14:textFill>
              </w:rPr>
              <w:t>元/人</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default" w:ascii="宋体" w:hAnsi="宋体" w:eastAsia="宋体" w:cs="宋体"/>
                <w:i w:val="0"/>
                <w:color w:val="000000" w:themeColor="text1"/>
                <w:sz w:val="22"/>
                <w:szCs w:val="22"/>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2"/>
                <w:szCs w:val="22"/>
                <w:highlight w:val="none"/>
                <w:u w:val="none"/>
                <w:lang w:val="en-US" w:eastAsia="zh-CN"/>
                <w14:textFill>
                  <w14:solidFill>
                    <w14:schemeClr w14:val="tx1"/>
                  </w14:solidFill>
                </w14:textFill>
              </w:rPr>
              <w:t>完成上级指标</w:t>
            </w: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3</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常住人口城镇化率（</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51.64</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lang w:val="en-US" w:eastAsia="zh-CN"/>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60</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3.05</w:t>
            </w: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318" w:hRule="atLeast"/>
          <w:jc w:val="center"/>
        </w:trPr>
        <w:tc>
          <w:tcPr>
            <w:tcW w:w="9876" w:type="dxa"/>
            <w:gridSpan w:val="6"/>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二、创新驱动</w:t>
            </w:r>
          </w:p>
        </w:tc>
      </w:tr>
      <w:tr>
        <w:tblPrEx>
          <w:shd w:val="clear" w:color="auto" w:fill="auto"/>
          <w:tblCellMar>
            <w:top w:w="0" w:type="dxa"/>
            <w:left w:w="0" w:type="dxa"/>
            <w:bottom w:w="0" w:type="dxa"/>
            <w:right w:w="0" w:type="dxa"/>
          </w:tblCellMar>
        </w:tblPrEx>
        <w:trPr>
          <w:trHeight w:val="291"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4</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R&amp;D占</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GDP</w:t>
            </w:r>
            <w:r>
              <w:rPr>
                <w:rStyle w:val="68"/>
                <w:color w:val="000000" w:themeColor="text1"/>
                <w:highlight w:val="none"/>
                <w:lang w:val="en-US" w:eastAsia="zh-CN" w:bidi="ar"/>
                <w14:textFill>
                  <w14:solidFill>
                    <w14:schemeClr w14:val="tx1"/>
                  </w14:solidFill>
                </w14:textFill>
              </w:rPr>
              <w:t>比例</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auto"/>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5</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数字经济核心产业增加值占</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GDP</w:t>
            </w:r>
            <w:r>
              <w:rPr>
                <w:rStyle w:val="68"/>
                <w:color w:val="000000" w:themeColor="text1"/>
                <w:highlight w:val="none"/>
                <w:lang w:val="en-US" w:eastAsia="zh-CN" w:bidi="ar"/>
                <w14:textFill>
                  <w14:solidFill>
                    <w14:schemeClr w14:val="tx1"/>
                  </w14:solidFill>
                </w14:textFill>
              </w:rPr>
              <w:t>比例（</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6</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每万人口拥有高价值发明专利数（件）</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省</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市</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暂未</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下达任务</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auto"/>
          <w:tblCellMar>
            <w:top w:w="0" w:type="dxa"/>
            <w:left w:w="0" w:type="dxa"/>
            <w:bottom w:w="0" w:type="dxa"/>
            <w:right w:w="0" w:type="dxa"/>
          </w:tblCellMar>
        </w:tblPrEx>
        <w:trPr>
          <w:trHeight w:val="318" w:hRule="atLeast"/>
          <w:jc w:val="center"/>
        </w:trPr>
        <w:tc>
          <w:tcPr>
            <w:tcW w:w="9876" w:type="dxa"/>
            <w:gridSpan w:val="6"/>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三、民生福祉</w:t>
            </w:r>
          </w:p>
        </w:tc>
      </w:tr>
      <w:tr>
        <w:tblPrEx>
          <w:tblCellMar>
            <w:top w:w="0" w:type="dxa"/>
            <w:left w:w="0" w:type="dxa"/>
            <w:bottom w:w="0" w:type="dxa"/>
            <w:right w:w="0" w:type="dxa"/>
          </w:tblCellMar>
        </w:tblPrEx>
        <w:trPr>
          <w:trHeight w:val="580"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7</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人均可支配收入</w:t>
            </w:r>
            <w:r>
              <w:rPr>
                <w:rStyle w:val="68"/>
                <w:color w:val="000000" w:themeColor="text1"/>
                <w:highlight w:val="none"/>
                <w:lang w:val="en-US" w:eastAsia="zh-CN" w:bidi="ar"/>
                <w14:textFill>
                  <w14:solidFill>
                    <w14:schemeClr w14:val="tx1"/>
                  </w14:solidFill>
                </w14:textFill>
              </w:rPr>
              <w:t>增长率（</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2"/>
                <w:szCs w:val="22"/>
                <w:highlight w:val="none"/>
                <w:u w:val="none"/>
                <w:lang w:val="en-US" w:eastAsia="zh-CN"/>
                <w14:textFill>
                  <w14:solidFill>
                    <w14:schemeClr w14:val="tx1"/>
                  </w14:solidFill>
                </w14:textFill>
              </w:rPr>
            </w:pPr>
            <w:r>
              <w:rPr>
                <w:rFonts w:hint="eastAsia" w:ascii="宋体" w:hAnsi="宋体" w:cs="宋体"/>
                <w:i w:val="0"/>
                <w:color w:val="000000" w:themeColor="text1"/>
                <w:sz w:val="22"/>
                <w:szCs w:val="22"/>
                <w:highlight w:val="none"/>
                <w:u w:val="none"/>
                <w:lang w:val="en-US" w:eastAsia="zh-CN"/>
                <w14:textFill>
                  <w14:solidFill>
                    <w14:schemeClr w14:val="tx1"/>
                  </w14:solidFill>
                </w14:textFill>
              </w:rPr>
              <w:t>7.3</w:t>
            </w:r>
          </w:p>
        </w:tc>
        <w:tc>
          <w:tcPr>
            <w:tcW w:w="2124" w:type="dxa"/>
            <w:gridSpan w:val="2"/>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lang w:val="en-US" w:eastAsia="zh-CN"/>
                <w14:textFill>
                  <w14:solidFill>
                    <w14:schemeClr w14:val="tx1"/>
                  </w14:solidFill>
                </w14:textFill>
              </w:rPr>
            </w:pPr>
            <w:r>
              <w:rPr>
                <w:rFonts w:hint="eastAsia" w:ascii="宋体" w:hAnsi="宋体" w:eastAsia="宋体" w:cs="宋体"/>
                <w:i w:val="0"/>
                <w:color w:val="000000" w:themeColor="text1"/>
                <w:sz w:val="22"/>
                <w:szCs w:val="22"/>
                <w:highlight w:val="none"/>
                <w:u w:val="none"/>
                <w:lang w:val="en-US" w:eastAsia="zh-CN"/>
                <w14:textFill>
                  <w14:solidFill>
                    <w14:schemeClr w14:val="tx1"/>
                  </w14:solidFill>
                </w14:textFill>
              </w:rPr>
              <w:t>与经济增长基本一致</w:t>
            </w: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8</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城镇调查失业率（</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2.39</w:t>
            </w:r>
          </w:p>
        </w:tc>
        <w:tc>
          <w:tcPr>
            <w:tcW w:w="1200" w:type="dxa"/>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3%以内</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预期性</w:t>
            </w:r>
          </w:p>
        </w:tc>
      </w:tr>
      <w:tr>
        <w:tblPrEx>
          <w:shd w:val="clear" w:color="auto" w:fill="auto"/>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9</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人均预期寿命（岁）</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2"/>
                <w:szCs w:val="22"/>
                <w:highlight w:val="none"/>
                <w:u w:val="none"/>
                <w:lang w:val="en-US"/>
                <w14:textFill>
                  <w14:solidFill>
                    <w14:schemeClr w14:val="tx1"/>
                  </w14:solidFill>
                </w14:textFill>
              </w:rPr>
            </w:pP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77.8</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78.6</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sz w:val="22"/>
                <w:szCs w:val="22"/>
                <w:highlight w:val="none"/>
                <w:u w:val="none"/>
                <w14:textFill>
                  <w14:solidFill>
                    <w14:schemeClr w14:val="tx1"/>
                  </w14:solidFill>
                </w14:textFill>
              </w:rPr>
              <w:t>〔0.</w:t>
            </w:r>
            <w:r>
              <w:rPr>
                <w:rFonts w:hint="eastAsia" w:ascii="宋体" w:hAnsi="宋体" w:cs="宋体"/>
                <w:i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i w:val="0"/>
                <w:color w:val="000000" w:themeColor="text1"/>
                <w:sz w:val="22"/>
                <w:szCs w:val="22"/>
                <w:highlight w:val="none"/>
                <w:u w:val="none"/>
                <w14:textFill>
                  <w14:solidFill>
                    <w14:schemeClr w14:val="tx1"/>
                  </w14:solidFill>
                </w14:textFill>
              </w:rPr>
              <w:t>〕</w:t>
            </w: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10</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劳动年龄人口平均受教育年限（年）</w:t>
            </w:r>
          </w:p>
        </w:tc>
        <w:tc>
          <w:tcPr>
            <w:tcW w:w="1238" w:type="dxa"/>
            <w:tcBorders>
              <w:top w:val="single" w:color="000000" w:sz="8" w:space="0"/>
              <w:left w:val="single" w:color="000000" w:sz="8" w:space="0"/>
              <w:bottom w:val="single" w:color="000000" w:sz="8" w:space="0"/>
              <w:right w:val="single" w:color="000000" w:sz="8"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10.7</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11.2</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1</w:t>
            </w: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11</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每千人口执业医生数（人）</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2"/>
                <w:szCs w:val="22"/>
                <w:highlight w:val="none"/>
                <w:u w:val="none"/>
                <w:lang w:val="en-US"/>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1.</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03</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2"/>
                <w:szCs w:val="22"/>
                <w:highlight w:val="none"/>
                <w:u w:val="none"/>
                <w:lang w:val="en-US"/>
                <w14:textFill>
                  <w14:solidFill>
                    <w14:schemeClr w14:val="tx1"/>
                  </w14:solidFill>
                </w14:textFill>
              </w:rPr>
            </w:pP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1.7</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预期性</w:t>
            </w:r>
          </w:p>
        </w:tc>
      </w:tr>
      <w:tr>
        <w:tblPrEx>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12</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每千人口拥有</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3</w:t>
            </w:r>
            <w:r>
              <w:rPr>
                <w:rStyle w:val="68"/>
                <w:color w:val="000000" w:themeColor="text1"/>
                <w:highlight w:val="none"/>
                <w:lang w:val="en-US" w:eastAsia="zh-CN" w:bidi="ar"/>
                <w14:textFill>
                  <w14:solidFill>
                    <w14:schemeClr w14:val="tx1"/>
                  </w14:solidFill>
                </w14:textFill>
              </w:rPr>
              <w:t>岁以下婴幼儿托育位数（位）</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1</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2</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sz w:val="22"/>
                <w:szCs w:val="22"/>
                <w:highlight w:val="none"/>
                <w:u w:val="none"/>
                <w14:textFill>
                  <w14:solidFill>
                    <w14:schemeClr w14:val="tx1"/>
                  </w14:solidFill>
                </w14:textFill>
              </w:rPr>
              <w:t>〔1〕</w:t>
            </w: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预期性</w:t>
            </w:r>
          </w:p>
        </w:tc>
      </w:tr>
      <w:tr>
        <w:tblPrEx>
          <w:shd w:val="clear" w:color="auto" w:fill="auto"/>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13</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基本养老保险参加率（</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完成指标</w:t>
            </w:r>
          </w:p>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任务</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完成指标</w:t>
            </w:r>
          </w:p>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任务</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预期性</w:t>
            </w:r>
          </w:p>
        </w:tc>
      </w:tr>
      <w:tr>
        <w:tblPrEx>
          <w:shd w:val="clear" w:color="auto" w:fill="auto"/>
          <w:tblCellMar>
            <w:top w:w="0" w:type="dxa"/>
            <w:left w:w="0" w:type="dxa"/>
            <w:bottom w:w="0" w:type="dxa"/>
            <w:right w:w="0" w:type="dxa"/>
          </w:tblCellMar>
        </w:tblPrEx>
        <w:trPr>
          <w:trHeight w:val="318" w:hRule="atLeast"/>
          <w:jc w:val="center"/>
        </w:trPr>
        <w:tc>
          <w:tcPr>
            <w:tcW w:w="9876" w:type="dxa"/>
            <w:gridSpan w:val="6"/>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四、绿色发展</w:t>
            </w:r>
          </w:p>
        </w:tc>
      </w:tr>
      <w:tr>
        <w:tblPrEx>
          <w:tblCellMar>
            <w:top w:w="0" w:type="dxa"/>
            <w:left w:w="0" w:type="dxa"/>
            <w:bottom w:w="0" w:type="dxa"/>
            <w:right w:w="0" w:type="dxa"/>
          </w:tblCellMar>
        </w:tblPrEx>
        <w:trPr>
          <w:trHeight w:val="591"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lang w:val="en-US"/>
                <w14:textFill>
                  <w14:solidFill>
                    <w14:schemeClr w14:val="tx1"/>
                  </w14:solidFill>
                </w14:textFill>
              </w:rPr>
            </w:pPr>
            <w:r>
              <w:rPr>
                <w:rFonts w:hint="eastAsia" w:cs="Times New Roman"/>
                <w:b/>
                <w:i w:val="0"/>
                <w:color w:val="000000" w:themeColor="text1"/>
                <w:kern w:val="0"/>
                <w:sz w:val="22"/>
                <w:szCs w:val="22"/>
                <w:highlight w:val="none"/>
                <w:u w:val="none"/>
                <w:lang w:val="en-US" w:eastAsia="zh-CN" w:bidi="ar"/>
                <w14:textFill>
                  <w14:solidFill>
                    <w14:schemeClr w14:val="tx1"/>
                  </w14:solidFill>
                </w14:textFill>
              </w:rPr>
              <w:t>14</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单位GDP</w:t>
            </w:r>
            <w:r>
              <w:rPr>
                <w:rStyle w:val="68"/>
                <w:color w:val="000000" w:themeColor="text1"/>
                <w:highlight w:val="none"/>
                <w:lang w:val="en-US" w:eastAsia="zh-CN" w:bidi="ar"/>
                <w14:textFill>
                  <w14:solidFill>
                    <w14:schemeClr w14:val="tx1"/>
                  </w14:solidFill>
                </w14:textFill>
              </w:rPr>
              <w:t>能耗降幅（</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cs="宋体"/>
                <w:i w:val="0"/>
                <w:color w:val="000000" w:themeColor="text1"/>
                <w:sz w:val="22"/>
                <w:szCs w:val="22"/>
                <w:highlight w:val="none"/>
                <w:u w:val="none"/>
                <w:lang w:val="en-US" w:eastAsia="zh-CN"/>
                <w14:textFill>
                  <w14:solidFill>
                    <w14:schemeClr w14:val="tx1"/>
                  </w14:solidFill>
                </w14:textFill>
              </w:rPr>
            </w:pPr>
            <w:r>
              <w:rPr>
                <w:rFonts w:hint="eastAsia" w:ascii="宋体" w:hAnsi="宋体" w:cs="宋体"/>
                <w:i w:val="0"/>
                <w:color w:val="000000" w:themeColor="text1"/>
                <w:sz w:val="22"/>
                <w:szCs w:val="22"/>
                <w:highlight w:val="none"/>
                <w:u w:val="none"/>
                <w:lang w:val="en-US" w:eastAsia="zh-CN"/>
                <w14:textFill>
                  <w14:solidFill>
                    <w14:schemeClr w14:val="tx1"/>
                  </w14:solidFill>
                </w14:textFill>
              </w:rPr>
              <w:t>5.91</w:t>
            </w:r>
          </w:p>
          <w:p>
            <w:pPr>
              <w:jc w:val="center"/>
              <w:rPr>
                <w:rFonts w:hint="default" w:ascii="宋体" w:hAnsi="宋体" w:eastAsia="宋体" w:cs="宋体"/>
                <w:i w:val="0"/>
                <w:color w:val="000000" w:themeColor="text1"/>
                <w:sz w:val="22"/>
                <w:szCs w:val="22"/>
                <w:highlight w:val="none"/>
                <w:u w:val="none"/>
                <w:lang w:val="en-US" w:eastAsia="zh-CN"/>
                <w14:textFill>
                  <w14:solidFill>
                    <w14:schemeClr w14:val="tx1"/>
                  </w14:solidFill>
                </w14:textFill>
              </w:rPr>
            </w:pPr>
            <w:r>
              <w:rPr>
                <w:rFonts w:hint="eastAsia" w:ascii="宋体" w:hAnsi="宋体" w:cs="宋体"/>
                <w:i w:val="0"/>
                <w:color w:val="000000" w:themeColor="text1"/>
                <w:sz w:val="22"/>
                <w:szCs w:val="22"/>
                <w:highlight w:val="none"/>
                <w:u w:val="none"/>
                <w:lang w:val="en-US" w:eastAsia="zh-CN"/>
                <w14:textFill>
                  <w14:solidFill>
                    <w14:schemeClr w14:val="tx1"/>
                  </w14:solidFill>
                </w14:textFill>
              </w:rPr>
              <w:t>（前三季度）</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省</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市</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暂未</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下达任务</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591"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lang w:val="en-US"/>
                <w14:textFill>
                  <w14:solidFill>
                    <w14:schemeClr w14:val="tx1"/>
                  </w14:solidFill>
                </w14:textFill>
              </w:rPr>
            </w:pPr>
            <w:r>
              <w:rPr>
                <w:rFonts w:hint="eastAsia" w:cs="Times New Roman"/>
                <w:b/>
                <w:i w:val="0"/>
                <w:color w:val="000000" w:themeColor="text1"/>
                <w:kern w:val="0"/>
                <w:sz w:val="22"/>
                <w:szCs w:val="22"/>
                <w:highlight w:val="none"/>
                <w:u w:val="none"/>
                <w:lang w:val="en-US" w:eastAsia="zh-CN" w:bidi="ar"/>
                <w14:textFill>
                  <w14:solidFill>
                    <w14:schemeClr w14:val="tx1"/>
                  </w14:solidFill>
                </w14:textFill>
              </w:rPr>
              <w:t>15</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单位GDP</w:t>
            </w:r>
            <w:r>
              <w:rPr>
                <w:rStyle w:val="68"/>
                <w:color w:val="000000" w:themeColor="text1"/>
                <w:highlight w:val="none"/>
                <w:lang w:val="en-US" w:eastAsia="zh-CN" w:bidi="ar"/>
                <w14:textFill>
                  <w14:solidFill>
                    <w14:schemeClr w14:val="tx1"/>
                  </w14:solidFill>
                </w14:textFill>
              </w:rPr>
              <w:t>二氧化碳排放降低（</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3.53</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省</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市</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暂未</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下达任务</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591"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i w:val="0"/>
                <w:color w:val="000000" w:themeColor="text1"/>
                <w:sz w:val="22"/>
                <w:szCs w:val="22"/>
                <w:highlight w:val="none"/>
                <w:u w:val="none"/>
                <w:lang w:val="en-US"/>
                <w14:textFill>
                  <w14:solidFill>
                    <w14:schemeClr w14:val="tx1"/>
                  </w14:solidFill>
                </w14:textFill>
              </w:rPr>
            </w:pPr>
            <w:r>
              <w:rPr>
                <w:rFonts w:hint="eastAsia" w:ascii="宋体" w:hAnsi="宋体" w:cs="宋体"/>
                <w:b/>
                <w:i w:val="0"/>
                <w:color w:val="000000" w:themeColor="text1"/>
                <w:kern w:val="0"/>
                <w:sz w:val="22"/>
                <w:szCs w:val="22"/>
                <w:highlight w:val="none"/>
                <w:u w:val="none"/>
                <w:lang w:val="en-US" w:eastAsia="zh-CN" w:bidi="ar"/>
                <w14:textFill>
                  <w14:solidFill>
                    <w14:schemeClr w14:val="tx1"/>
                  </w14:solidFill>
                </w14:textFill>
              </w:rPr>
              <w:t>16</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城市细颗粒物（PM</w:t>
            </w:r>
            <w:r>
              <w:rPr>
                <w:rStyle w:val="69"/>
                <w:rFonts w:eastAsia="宋体"/>
                <w:color w:val="000000" w:themeColor="text1"/>
                <w:highlight w:val="none"/>
                <w:lang w:val="en-US" w:eastAsia="zh-CN" w:bidi="ar"/>
                <w14:textFill>
                  <w14:solidFill>
                    <w14:schemeClr w14:val="tx1"/>
                  </w14:solidFill>
                </w14:textFill>
              </w:rPr>
              <w:t>2.5</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平均</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浓度</w:t>
            </w:r>
            <w:r>
              <w:rPr>
                <w:rStyle w:val="68"/>
                <w:color w:val="000000" w:themeColor="text1"/>
                <w:highlight w:val="none"/>
                <w:lang w:val="en-US" w:eastAsia="zh-CN" w:bidi="ar"/>
                <w14:textFill>
                  <w14:solidFill>
                    <w14:schemeClr w14:val="tx1"/>
                  </w14:solidFill>
                </w14:textFill>
              </w:rPr>
              <w:t>降幅（</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18</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省</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市</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暂未</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下达任务</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约束性</w:t>
            </w:r>
          </w:p>
        </w:tc>
      </w:tr>
      <w:tr>
        <w:tblPrEx>
          <w:shd w:val="clear" w:color="auto" w:fill="auto"/>
          <w:tblCellMar>
            <w:top w:w="0" w:type="dxa"/>
            <w:left w:w="0" w:type="dxa"/>
            <w:bottom w:w="0" w:type="dxa"/>
            <w:right w:w="0" w:type="dxa"/>
          </w:tblCellMar>
        </w:tblPrEx>
        <w:trPr>
          <w:trHeight w:val="591"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i w:val="0"/>
                <w:color w:val="000000" w:themeColor="text1"/>
                <w:sz w:val="22"/>
                <w:szCs w:val="22"/>
                <w:highlight w:val="none"/>
                <w:u w:val="none"/>
                <w:lang w:val="en-US"/>
                <w14:textFill>
                  <w14:solidFill>
                    <w14:schemeClr w14:val="tx1"/>
                  </w14:solidFill>
                </w14:textFill>
              </w:rPr>
            </w:pPr>
            <w:r>
              <w:rPr>
                <w:rFonts w:hint="eastAsia" w:ascii="宋体" w:hAnsi="宋体" w:cs="宋体"/>
                <w:b/>
                <w:i w:val="0"/>
                <w:color w:val="000000" w:themeColor="text1"/>
                <w:kern w:val="0"/>
                <w:sz w:val="22"/>
                <w:szCs w:val="22"/>
                <w:highlight w:val="none"/>
                <w:u w:val="none"/>
                <w:lang w:val="en-US" w:eastAsia="zh-CN" w:bidi="ar"/>
                <w14:textFill>
                  <w14:solidFill>
                    <w14:schemeClr w14:val="tx1"/>
                  </w14:solidFill>
                </w14:textFill>
              </w:rPr>
              <w:t>17</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达到或好于</w:t>
            </w:r>
            <w:r>
              <w:rPr>
                <w:rStyle w:val="68"/>
                <w:color w:val="000000" w:themeColor="text1"/>
                <w:highlight w:val="none"/>
                <w:lang w:val="en-US" w:eastAsia="zh-CN" w:bidi="ar"/>
                <w14:textFill>
                  <w14:solidFill>
                    <w14:schemeClr w14:val="tx1"/>
                  </w14:solidFill>
                </w14:textFill>
              </w:rPr>
              <w:t>Ⅲ类水体占地表水比例（</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90</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省</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市</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暂未</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下达任务</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约束性</w:t>
            </w:r>
          </w:p>
        </w:tc>
      </w:tr>
      <w:tr>
        <w:tblPrEx>
          <w:shd w:val="clear" w:color="auto" w:fill="auto"/>
          <w:tblCellMar>
            <w:top w:w="0" w:type="dxa"/>
            <w:left w:w="0" w:type="dxa"/>
            <w:bottom w:w="0" w:type="dxa"/>
            <w:right w:w="0" w:type="dxa"/>
          </w:tblCellMar>
        </w:tblPrEx>
        <w:trPr>
          <w:trHeight w:val="606"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lang w:val="en-US"/>
                <w14:textFill>
                  <w14:solidFill>
                    <w14:schemeClr w14:val="tx1"/>
                  </w14:solidFill>
                </w14:textFill>
              </w:rPr>
            </w:pPr>
            <w:r>
              <w:rPr>
                <w:rFonts w:hint="eastAsia" w:cs="Times New Roman"/>
                <w:b/>
                <w:i w:val="0"/>
                <w:color w:val="000000" w:themeColor="text1"/>
                <w:kern w:val="0"/>
                <w:sz w:val="22"/>
                <w:szCs w:val="22"/>
                <w:highlight w:val="none"/>
                <w:u w:val="none"/>
                <w:lang w:val="en-US" w:eastAsia="zh-CN" w:bidi="ar"/>
                <w14:textFill>
                  <w14:solidFill>
                    <w14:schemeClr w14:val="tx1"/>
                  </w14:solidFill>
                </w14:textFill>
              </w:rPr>
              <w:t>18</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森林覆盖率（%</w:t>
            </w:r>
            <w:r>
              <w:rPr>
                <w:rStyle w:val="68"/>
                <w:color w:val="000000" w:themeColor="text1"/>
                <w:highlight w:val="none"/>
                <w:lang w:val="en-US" w:eastAsia="zh-CN" w:bidi="ar"/>
                <w14:textFill>
                  <w14:solidFill>
                    <w14:schemeClr w14:val="tx1"/>
                  </w14:solidFill>
                </w14:textFill>
              </w:rPr>
              <w:t>）</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35.83</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40.3</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约束性</w:t>
            </w:r>
          </w:p>
        </w:tc>
      </w:tr>
      <w:tr>
        <w:tblPrEx>
          <w:shd w:val="clear" w:color="auto" w:fill="auto"/>
          <w:tblCellMar>
            <w:top w:w="0" w:type="dxa"/>
            <w:left w:w="0" w:type="dxa"/>
            <w:bottom w:w="0" w:type="dxa"/>
            <w:right w:w="0" w:type="dxa"/>
          </w:tblCellMar>
        </w:tblPrEx>
        <w:trPr>
          <w:trHeight w:val="90" w:hRule="atLeast"/>
          <w:jc w:val="center"/>
        </w:trPr>
        <w:tc>
          <w:tcPr>
            <w:tcW w:w="9876" w:type="dxa"/>
            <w:gridSpan w:val="6"/>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五、安全保障</w:t>
            </w:r>
          </w:p>
        </w:tc>
      </w:tr>
      <w:tr>
        <w:tblPrEx>
          <w:tblCellMar>
            <w:top w:w="0" w:type="dxa"/>
            <w:left w:w="0" w:type="dxa"/>
            <w:bottom w:w="0" w:type="dxa"/>
            <w:right w:w="0" w:type="dxa"/>
          </w:tblCellMar>
        </w:tblPrEx>
        <w:trPr>
          <w:trHeight w:val="303"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themeColor="text1"/>
                <w:sz w:val="22"/>
                <w:szCs w:val="22"/>
                <w:highlight w:val="none"/>
                <w:u w:val="none"/>
                <w14:textFill>
                  <w14:solidFill>
                    <w14:schemeClr w14:val="tx1"/>
                  </w14:solidFill>
                </w14:textFill>
              </w:rPr>
            </w:pPr>
            <w:r>
              <w:rPr>
                <w:rFonts w:hint="eastAsia" w:ascii="宋体" w:hAnsi="宋体" w:eastAsia="宋体" w:cs="宋体"/>
                <w:b/>
                <w:i w:val="0"/>
                <w:color w:val="000000" w:themeColor="text1"/>
                <w:kern w:val="0"/>
                <w:sz w:val="22"/>
                <w:szCs w:val="22"/>
                <w:highlight w:val="none"/>
                <w:u w:val="none"/>
                <w:lang w:val="en-US" w:eastAsia="zh-CN" w:bidi="ar"/>
                <w14:textFill>
                  <w14:solidFill>
                    <w14:schemeClr w14:val="tx1"/>
                  </w14:solidFill>
                </w14:textFill>
              </w:rPr>
              <w:t>19</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粮食综合生产能力（万吨）</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color w:val="000000" w:themeColor="text1"/>
                <w:sz w:val="22"/>
                <w:szCs w:val="22"/>
                <w:highlight w:val="none"/>
                <w:u w:val="none"/>
                <w:lang w:val="en-US"/>
                <w14:textFill>
                  <w14:solidFill>
                    <w14:schemeClr w14:val="tx1"/>
                  </w14:solidFill>
                </w14:textFill>
              </w:rPr>
            </w:pPr>
            <w:r>
              <w:rPr>
                <w:rFonts w:hint="eastAsia" w:asciiTheme="minorEastAsia" w:hAnsiTheme="minorEastAsia" w:eastAsiaTheme="minorEastAsia" w:cstheme="minorEastAsia"/>
                <w:i w:val="0"/>
                <w:color w:val="000000" w:themeColor="text1"/>
                <w:kern w:val="0"/>
                <w:sz w:val="21"/>
                <w:szCs w:val="21"/>
                <w:highlight w:val="none"/>
                <w:u w:val="none"/>
                <w:lang w:val="en-US" w:eastAsia="zh-CN" w:bidi="ar"/>
                <w14:textFill>
                  <w14:solidFill>
                    <w14:schemeClr w14:val="tx1"/>
                  </w14:solidFill>
                </w14:textFill>
              </w:rPr>
              <w:t>17.54</w:t>
            </w: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color w:val="000000" w:themeColor="text1"/>
                <w:sz w:val="22"/>
                <w:szCs w:val="22"/>
                <w:highlight w:val="none"/>
                <w:u w:val="no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sz w:val="21"/>
                <w:szCs w:val="21"/>
                <w:highlight w:val="none"/>
                <w:u w:val="none"/>
                <w:lang w:val="en-US" w:eastAsia="zh-CN"/>
                <w14:textFill>
                  <w14:solidFill>
                    <w14:schemeClr w14:val="tx1"/>
                  </w14:solidFill>
                </w14:textFill>
              </w:rPr>
              <w:t>18.75</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约束性</w:t>
            </w:r>
          </w:p>
        </w:tc>
      </w:tr>
      <w:tr>
        <w:tblPrEx>
          <w:tblCellMar>
            <w:top w:w="0" w:type="dxa"/>
            <w:left w:w="0" w:type="dxa"/>
            <w:bottom w:w="0" w:type="dxa"/>
            <w:right w:w="0" w:type="dxa"/>
          </w:tblCellMar>
        </w:tblPrEx>
        <w:trPr>
          <w:trHeight w:val="591" w:hRule="atLeast"/>
          <w:jc w:val="center"/>
        </w:trPr>
        <w:tc>
          <w:tcPr>
            <w:tcW w:w="96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themeColor="text1"/>
                <w:sz w:val="22"/>
                <w:szCs w:val="22"/>
                <w:highlight w:val="none"/>
                <w:u w:val="none"/>
                <w14:textFill>
                  <w14:solidFill>
                    <w14:schemeClr w14:val="tx1"/>
                  </w14:solidFill>
                </w14:textFill>
              </w:rPr>
            </w:pPr>
            <w:r>
              <w:rPr>
                <w:rFonts w:hint="default" w:ascii="Times New Roman" w:hAnsi="Times New Roman" w:eastAsia="宋体" w:cs="Times New Roman"/>
                <w:b/>
                <w:i w:val="0"/>
                <w:color w:val="000000" w:themeColor="text1"/>
                <w:kern w:val="0"/>
                <w:sz w:val="22"/>
                <w:szCs w:val="22"/>
                <w:highlight w:val="none"/>
                <w:u w:val="none"/>
                <w:lang w:val="en-US" w:eastAsia="zh-CN" w:bidi="ar"/>
                <w14:textFill>
                  <w14:solidFill>
                    <w14:schemeClr w14:val="tx1"/>
                  </w14:solidFill>
                </w14:textFill>
              </w:rPr>
              <w:t>20</w:t>
            </w:r>
          </w:p>
        </w:tc>
        <w:tc>
          <w:tcPr>
            <w:tcW w:w="482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能源综合生产能力（万吨标准煤）</w:t>
            </w:r>
          </w:p>
        </w:tc>
        <w:tc>
          <w:tcPr>
            <w:tcW w:w="1238"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i w:val="0"/>
                <w:color w:val="000000" w:themeColor="text1"/>
                <w:sz w:val="22"/>
                <w:szCs w:val="22"/>
                <w:highlight w:val="none"/>
                <w:u w:val="none"/>
                <w14:textFill>
                  <w14:solidFill>
                    <w14:schemeClr w14:val="tx1"/>
                  </w14:solidFill>
                </w14:textFill>
              </w:rPr>
            </w:pPr>
          </w:p>
        </w:tc>
        <w:tc>
          <w:tcPr>
            <w:tcW w:w="120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省</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市</w:t>
            </w:r>
            <w:r>
              <w:rPr>
                <w:rFonts w:hint="eastAsia" w:ascii="宋体" w:hAnsi="宋体" w:cs="宋体"/>
                <w:i w:val="0"/>
                <w:color w:val="000000" w:themeColor="text1"/>
                <w:kern w:val="0"/>
                <w:sz w:val="22"/>
                <w:szCs w:val="22"/>
                <w:highlight w:val="none"/>
                <w:u w:val="none"/>
                <w:lang w:val="en-US" w:eastAsia="zh-CN" w:bidi="ar"/>
                <w14:textFill>
                  <w14:solidFill>
                    <w14:schemeClr w14:val="tx1"/>
                  </w14:solidFill>
                </w14:textFill>
              </w:rPr>
              <w:t>暂未</w:t>
            </w: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下达任务</w:t>
            </w:r>
          </w:p>
        </w:tc>
        <w:tc>
          <w:tcPr>
            <w:tcW w:w="9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jc w:val="center"/>
              <w:rPr>
                <w:rFonts w:hint="eastAsia" w:asciiTheme="minorEastAsia" w:hAnsiTheme="minorEastAsia" w:eastAsiaTheme="minorEastAsia" w:cstheme="minorEastAsia"/>
                <w:i w:val="0"/>
                <w:color w:val="000000" w:themeColor="text1"/>
                <w:sz w:val="22"/>
                <w:szCs w:val="22"/>
                <w:highlight w:val="none"/>
                <w:u w:val="none"/>
                <w14:textFill>
                  <w14:solidFill>
                    <w14:schemeClr w14:val="tx1"/>
                  </w14:solidFill>
                </w14:textFill>
              </w:rPr>
            </w:pPr>
          </w:p>
        </w:tc>
        <w:tc>
          <w:tcPr>
            <w:tcW w:w="732"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2"/>
                <w:szCs w:val="22"/>
                <w:highlight w:val="none"/>
                <w:u w:val="none"/>
                <w14:textFill>
                  <w14:solidFill>
                    <w14:schemeClr w14:val="tx1"/>
                  </w14:solidFill>
                </w14:textFill>
              </w:rPr>
            </w:pPr>
            <w:r>
              <w:rPr>
                <w:rFonts w:hint="eastAsia" w:ascii="宋体" w:hAnsi="宋体" w:eastAsia="宋体" w:cs="宋体"/>
                <w:i w:val="0"/>
                <w:color w:val="000000" w:themeColor="text1"/>
                <w:kern w:val="0"/>
                <w:sz w:val="22"/>
                <w:szCs w:val="22"/>
                <w:highlight w:val="none"/>
                <w:u w:val="none"/>
                <w:lang w:val="en-US" w:eastAsia="zh-CN" w:bidi="ar"/>
                <w14:textFill>
                  <w14:solidFill>
                    <w14:schemeClr w14:val="tx1"/>
                  </w14:solidFill>
                </w14:textFill>
              </w:rPr>
              <w:t>预期</w:t>
            </w:r>
            <w:r>
              <w:rPr>
                <w:rFonts w:hint="default" w:ascii="Times New Roman" w:hAnsi="Times New Roman" w:eastAsia="宋体" w:cs="Times New Roman"/>
                <w:i w:val="0"/>
                <w:color w:val="000000" w:themeColor="text1"/>
                <w:kern w:val="0"/>
                <w:sz w:val="22"/>
                <w:szCs w:val="22"/>
                <w:highlight w:val="none"/>
                <w:u w:val="none"/>
                <w:lang w:val="en-US" w:eastAsia="zh-CN" w:bidi="ar"/>
                <w14:textFill>
                  <w14:solidFill>
                    <w14:schemeClr w14:val="tx1"/>
                  </w14:solidFill>
                </w14:textFill>
              </w:rPr>
              <w:t>性</w:t>
            </w:r>
          </w:p>
        </w:tc>
      </w:tr>
    </w:tbl>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color w:val="000000" w:themeColor="text1"/>
          <w:kern w:val="0"/>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注：1</w:t>
      </w:r>
      <w:r>
        <w:rPr>
          <w:rFonts w:hint="eastAsia" w:ascii="宋体" w:hAnsi="宋体"/>
          <w:color w:val="000000" w:themeColor="text1"/>
          <w:kern w:val="0"/>
          <w:szCs w:val="21"/>
          <w:highlight w:val="none"/>
          <w:lang w:val="en-US" w:eastAsia="zh-CN"/>
          <w14:textFill>
            <w14:solidFill>
              <w14:schemeClr w14:val="tx1"/>
            </w14:solidFill>
          </w14:textFill>
        </w:rPr>
        <w:t>.</w:t>
      </w:r>
      <w:r>
        <w:rPr>
          <w:rFonts w:hint="eastAsia" w:ascii="宋体" w:hAnsi="宋体"/>
          <w:color w:val="000000" w:themeColor="text1"/>
          <w:kern w:val="0"/>
          <w:szCs w:val="21"/>
          <w:highlight w:val="none"/>
          <w14:textFill>
            <w14:solidFill>
              <w14:schemeClr w14:val="tx1"/>
            </w14:solidFill>
          </w14:textFill>
        </w:rPr>
        <w:t>〔〕内为5年累计数。</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lang w:val="en-US" w:eastAsia="zh-CN"/>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地区生产总值2025年</w:t>
      </w:r>
      <w:r>
        <w:rPr>
          <w:rFonts w:hint="eastAsia" w:ascii="宋体" w:hAnsi="宋体"/>
          <w:color w:val="000000" w:themeColor="text1"/>
          <w:kern w:val="0"/>
          <w:szCs w:val="21"/>
          <w:highlight w:val="none"/>
          <w:lang w:eastAsia="zh-CN"/>
          <w14:textFill>
            <w14:solidFill>
              <w14:schemeClr w14:val="tx1"/>
            </w14:solidFill>
          </w14:textFill>
        </w:rPr>
        <w:t>绝对数</w:t>
      </w:r>
      <w:r>
        <w:rPr>
          <w:rFonts w:hint="eastAsia" w:ascii="宋体" w:hAnsi="宋体"/>
          <w:color w:val="000000" w:themeColor="text1"/>
          <w:kern w:val="0"/>
          <w:szCs w:val="21"/>
          <w:highlight w:val="none"/>
          <w14:textFill>
            <w14:solidFill>
              <w14:schemeClr w14:val="tx1"/>
            </w14:solidFill>
          </w14:textFill>
        </w:rPr>
        <w:t>按当年</w:t>
      </w:r>
      <w:r>
        <w:rPr>
          <w:rFonts w:hint="eastAsia" w:ascii="宋体" w:hAnsi="宋体"/>
          <w:color w:val="000000" w:themeColor="text1"/>
          <w:kern w:val="0"/>
          <w:szCs w:val="21"/>
          <w:highlight w:val="none"/>
          <w:lang w:eastAsia="zh-CN"/>
          <w14:textFill>
            <w14:solidFill>
              <w14:schemeClr w14:val="tx1"/>
            </w14:solidFill>
          </w14:textFill>
        </w:rPr>
        <w:t>价</w:t>
      </w:r>
      <w:r>
        <w:rPr>
          <w:rFonts w:hint="eastAsia" w:ascii="宋体" w:hAnsi="宋体"/>
          <w:color w:val="000000" w:themeColor="text1"/>
          <w:kern w:val="0"/>
          <w:szCs w:val="21"/>
          <w:highlight w:val="none"/>
          <w14:textFill>
            <w14:solidFill>
              <w14:schemeClr w14:val="tx1"/>
            </w14:solidFill>
          </w14:textFill>
        </w:rPr>
        <w:t>预计，增长速度为实际增速。</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lang w:val="en-US" w:eastAsia="zh-CN"/>
          <w14:textFill>
            <w14:solidFill>
              <w14:schemeClr w14:val="tx1"/>
            </w14:solidFill>
          </w14:textFill>
        </w:rPr>
        <w:t>3.</w:t>
      </w:r>
      <w:r>
        <w:rPr>
          <w:rFonts w:hint="eastAsia" w:ascii="宋体" w:hAnsi="宋体"/>
          <w:color w:val="000000" w:themeColor="text1"/>
          <w:kern w:val="0"/>
          <w:szCs w:val="21"/>
          <w:highlight w:val="none"/>
          <w14:textFill>
            <w14:solidFill>
              <w14:schemeClr w14:val="tx1"/>
            </w14:solidFill>
          </w14:textFill>
        </w:rPr>
        <w:t>单位GDP能耗降幅、单位GDP二氧化碳排放降低等指标按省最终核定目标值执行。已标出的目标值为初步控制目标。</w:t>
      </w: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bookmarkStart w:id="41" w:name="_Toc16017"/>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第三章 </w:t>
      </w:r>
      <w:bookmarkEnd w:id="38"/>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强化东承西接重要支撑作用，融入新发展格局</w:t>
      </w:r>
      <w:bookmarkEnd w:id="39"/>
      <w:bookmarkEnd w:id="40"/>
      <w:bookmarkEnd w:id="41"/>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利用</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我市作为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“双区”向粤东辐射桥头堡、粤东融入“双区”中转站的区位优势，将</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打造为珠三角与粤东地区、深圳都市圈与汕潮揭都市圈、“双区”与“海西”经济区有机衔接的枢纽</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节点</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在全面接轨深圳、全力融入“双区”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和积极携手汕潮揭都市圈建设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中培育区域竞争新优势，以开放融合创新的姿态</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助</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推</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裂变发展。</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42" w:name="_Toc4883"/>
      <w:bookmarkStart w:id="43" w:name="_Toc22489"/>
      <w:bookmarkStart w:id="44" w:name="_Toc32148"/>
      <w:r>
        <w:rPr>
          <w:rFonts w:hint="eastAsia" w:ascii="黑体" w:hAnsi="黑体" w:eastAsia="黑体" w:cs="仿宋"/>
          <w:color w:val="000000" w:themeColor="text1"/>
          <w:sz w:val="32"/>
          <w:szCs w:val="32"/>
          <w:highlight w:val="none"/>
          <w14:textFill>
            <w14:solidFill>
              <w14:schemeClr w14:val="tx1"/>
            </w14:solidFill>
          </w14:textFill>
        </w:rPr>
        <w:t>第一节 全面接轨深圳</w:t>
      </w:r>
      <w:bookmarkEnd w:id="42"/>
      <w:bookmarkEnd w:id="43"/>
      <w:bookmarkEnd w:id="44"/>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一、加强规划共绘，深度参与深圳都市圈建设</w:t>
      </w:r>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深入</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对接深圳都市圈</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规划，系统谋划涉及都市圈</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发展全局和长远发展的重大方向，在区域交通、产业共建、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社会服务、</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合作机制等方面合理确定重大任务举措。统筹“陆丰所</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优</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”服务“深圳所需”，“陆丰所需”借力“深圳所优”。充分发挥陆丰比较优势，更加主动承接深圳城市功能疏解，以及产业、金融、人才、文化等各类资源溢出，强化与深圳高水平互动发展。</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80" w:lineRule="auto"/>
              <w:ind w:left="0" w:leftChars="0"/>
              <w:jc w:val="center"/>
              <w:textAlignment w:val="baseline"/>
              <w:rPr>
                <w:rFonts w:ascii="宋体" w:hAnsi="宋体" w:eastAsia="宋体"/>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专栏3-1 全面接轨深圳融入“双区”十大工程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1.新型现代化交通网络工程：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围绕“建设大通道”“振兴大港航”“发展大物流”目标，加快交通基础设施建设，构建融湾拓海、立体多元、方便快捷的现代化综合交通运输体系。以高品质的交通服务体系，全面接轨深圳、全力融入“双区”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2.先进制造业产业基地工程：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充分利用</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我市</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毗邻港澳地缘优势，承接“双区”产业外溢机遇，引进一批先进制造业重点企业，加大本土先进制造业骨干企业培育力度，打造“双区”先进制造业延伸战略腹地，建立现代产业体系，实现全市制造业高质量发展。</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3.发展海洋经济工程: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 xml:space="preserve"> 依托丰富海洋资源</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打造</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粤东蓝色经济示范区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推动临港工业、能源产业、现代渔业等海洋经济高质量发展。</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4.加快数字经济建设工程：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大力发展以5G、云数据中心为核心的数字经济，建设具有区域代表性和影响力的5G产业园，打造数字经济高质量发展新引擎。</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5.大众创业、万众创新新格局工程：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利用深圳高端人才多、创新设备先进以及离岸创新成果多等优势，提升我市创新能力，构建“政产学研金介用”协同创新体系。</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6.“五城联创”亮点工程：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以“五城联创”为抓手，推进中心城区扩容提质，提升中心城区发展能级，改善人居环境、城市品位、城市形象。加紧启动国家园林城市、国家森林城市和国家生态文明建设示范市创建，成功创建广东省县级文明城市和广东省卫生城市。</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7.乡村振兴工程：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充分发挥陆丰农业资源优势，紧密对接深圳、粤港澳大湾区对优质绿色农产品的需求，结合乡村振兴战略，大力发展生态农业、休闲农业和品牌农业，打造具有地方特色的优质粮食、水果、蔬菜、畜禽、水产供应基地，努力打造成为深圳乃至大湾区的“米袋子”“菜篮子”“果盘子”。</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8.一流营商环境工程：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借助大湾区在对外开放中的功能和作用，优化营商环境，提升与大湾区市场一体化水平，推动市场准入政策、市场执法标准、市场法治环境、产业扶持政策和产业服务平台实现基本统一，形成与大湾区资源融合、优势互补、举措联动的开放格局。</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9.共建共享民生服务工程：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以满足人民对美好生活需求为出发点，加快推进教育、医疗、文化、就业等公共服务提档升级，促进优质公共服务共建共享。</w:t>
            </w:r>
          </w:p>
          <w:p>
            <w:pPr>
              <w:snapToGrid/>
              <w:spacing w:before="0" w:beforeAutospacing="0" w:after="0" w:afterAutospacing="0" w:line="400" w:lineRule="exact"/>
              <w:ind w:firstLine="562" w:firstLineChars="200"/>
              <w:jc w:val="both"/>
              <w:textAlignment w:val="baseline"/>
              <w:rPr>
                <w:rFonts w:ascii="仿宋_GB2312" w:eastAsia="仿宋_GB2312"/>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10.弘扬传承红色文化工程：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保护</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利用好红色资源，全面开展革命遗址遗迹保护利用工作，奋力推动海陆丰革命老区振兴发展。</w:t>
            </w:r>
          </w:p>
        </w:tc>
      </w:tr>
    </w:tbl>
    <w:p>
      <w:pPr>
        <w:widowControl/>
        <w:snapToGrid w:val="0"/>
        <w:spacing w:before="0" w:beforeAutospacing="0" w:after="0" w:afterAutospacing="0" w:line="600" w:lineRule="exact"/>
        <w:ind w:firstLine="643" w:firstLineChars="200"/>
        <w:jc w:val="left"/>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二、深化产业共兴，强化资源共享</w:t>
      </w:r>
    </w:p>
    <w:p>
      <w:pPr>
        <w:pStyle w:val="6"/>
        <w:snapToGrid/>
        <w:spacing w:before="0" w:beforeAutospacing="0" w:after="0" w:afterAutospacing="0" w:line="600" w:lineRule="exact"/>
        <w:ind w:firstLine="643"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——善用深圳罗湖区对陆丰的对口帮扶机制。</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深化“总部研发在深圳、转化落地在陆丰”</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产业协同发展模式，努力融入深圳供应链、产业链、创新链和生态链。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对标学习深圳</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特区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精神、理念、效率，借助深圳罗湖对口帮扶陆丰协作机制，加强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陆丰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与深圳市尤其是罗湖区的全面战略合作，重点推动临港工业园区和</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东海、星都产业</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园区建设，推动</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园区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道路、给排水、消防管网、园区供配电网、综合水泵站、污水处理站、生活办公区等公用配套设施完善，提升陆丰园区经济发展效能。进一步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加快</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促进康佳</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等电子信息产业</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落户</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，争取布局</w:t>
      </w:r>
      <w:r>
        <w:rPr>
          <w:rFonts w:hint="default" w:ascii="Times New Roman" w:hAnsi="Times New Roman" w:eastAsia="仿宋_GB2312" w:cs="Times New Roman"/>
          <w:b w:val="0"/>
          <w:i w:val="0"/>
          <w:caps w:val="0"/>
          <w:color w:val="000000" w:themeColor="text1"/>
          <w:spacing w:val="0"/>
          <w:w w:val="100"/>
          <w:sz w:val="32"/>
          <w:szCs w:val="32"/>
          <w:highlight w:val="none"/>
          <w:u w:val="none" w:color="auto"/>
          <w:lang w:val="zh-CN"/>
          <w14:textFill>
            <w14:solidFill>
              <w14:schemeClr w14:val="tx1"/>
            </w14:solidFill>
          </w14:textFill>
        </w:rPr>
        <w:t>8K、5G、Micro LED、AI</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、半导体、</w:t>
      </w:r>
      <w:r>
        <w:rPr>
          <w:rFonts w:hint="default" w:ascii="Times New Roman" w:hAnsi="Times New Roman" w:eastAsia="仿宋_GB2312" w:cs="Times New Roman"/>
          <w:b w:val="0"/>
          <w:i w:val="0"/>
          <w:caps w:val="0"/>
          <w:color w:val="000000" w:themeColor="text1"/>
          <w:spacing w:val="0"/>
          <w:w w:val="100"/>
          <w:sz w:val="32"/>
          <w:szCs w:val="32"/>
          <w:highlight w:val="none"/>
          <w:u w:val="none" w:color="auto"/>
          <w:lang w:val="zh-CN"/>
          <w14:textFill>
            <w14:solidFill>
              <w14:schemeClr w14:val="tx1"/>
            </w14:solidFill>
          </w14:textFill>
        </w:rPr>
        <w:t>IoT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等领域的生产环节。</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与</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深圳特区共同打造发达地区带动革命老区提速发展的生动样板。</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14"/>
              <w:snapToGrid/>
              <w:spacing w:before="0" w:beforeAutospacing="0" w:after="0" w:afterAutospacing="0" w:line="480" w:lineRule="auto"/>
              <w:ind w:left="0" w:leftChars="0"/>
              <w:jc w:val="center"/>
              <w:textAlignment w:val="baseline"/>
              <w:rPr>
                <w:rFonts w:ascii="宋体" w:hAnsi="宋体" w:cs="宋体"/>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专栏3-2 深圳罗湖区产业特征及与深化对口帮扶的领域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1.产业合作领域：</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围绕“电子信息+海工装备”，形成罗湖区对陆丰对口帮扶的战略性新兴产业布局。结合罗湖区</w:t>
            </w:r>
            <w:r>
              <w:rPr>
                <w:rFonts w:hint="default" w:ascii="Times New Roman" w:hAnsi="Times New Roman" w:cs="Times New Roman" w:eastAsiaTheme="minorEastAsia"/>
                <w:b w:val="0"/>
                <w:i w:val="0"/>
                <w:caps w:val="0"/>
                <w:color w:val="000000" w:themeColor="text1"/>
                <w:spacing w:val="0"/>
                <w:w w:val="100"/>
                <w:sz w:val="28"/>
                <w:szCs w:val="28"/>
                <w:highlight w:val="none"/>
                <w:u w:val="none" w:color="auto"/>
                <w14:textFill>
                  <w14:solidFill>
                    <w14:schemeClr w14:val="tx1"/>
                  </w14:solidFill>
                </w14:textFill>
              </w:rPr>
              <w:t>“3+3+N”</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产业体系，探索在金融业、商贸业和商务服务业，珠宝首饰、文化创意和旅游业、人工智能、生命健康等若干领域</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进行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产业共建。</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2.公共服务领域：</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推动罗湖区教育、医疗等社会基础服务机构在陆丰合作共建各类型学校、职业技术院校、培训机构和各类型医疗设施，加强公共卫生领域的联防联</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控</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机制。</w:t>
            </w:r>
          </w:p>
          <w:p>
            <w:pPr>
              <w:snapToGrid/>
              <w:spacing w:before="0" w:beforeAutospacing="0" w:after="0" w:afterAutospacing="0" w:line="400" w:lineRule="exact"/>
              <w:ind w:firstLine="562" w:firstLineChars="200"/>
              <w:jc w:val="both"/>
              <w:textAlignment w:val="baseline"/>
              <w:rPr>
                <w:rFonts w:ascii="宋体" w:hAnsi="宋体" w:cs="宋体"/>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3.特区+老区精神合作领域：</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推动形成“特区+老区”精神教育基地，强化新时代特区敢闯敢试精神与红色艰苦奋斗，</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不忘初心</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精神的有机衔接，培育成为新时代广东人文精神内核之一，并逐步向革命历史教育、观光旅游休闲发展。</w:t>
            </w:r>
          </w:p>
        </w:tc>
      </w:tr>
    </w:tbl>
    <w:p>
      <w:pPr>
        <w:snapToGrid/>
        <w:spacing w:before="0" w:beforeAutospacing="0" w:after="0" w:afterAutospacing="0" w:line="240" w:lineRule="auto"/>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——加快推动科技协同创新</w:t>
      </w:r>
      <w:r>
        <w:rPr>
          <w:rFonts w:hint="eastAsia" w:ascii="仿宋_GB2312" w:hAnsi="仿宋_GB2312" w:eastAsia="仿宋_GB2312" w:cs="仿宋_GB2312"/>
          <w:b/>
          <w:bCs/>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搭建创新创业孵化平台。</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主动融入深圳的</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科技创新体系，加强与深圳“十四五”科技创新发展规划对接，以合作平台构建和重大项目推进为抓手，推动</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深圳</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科技成果在陆丰转化。主动融入粤港澳大湾区国际科技创新中心建设，支持配合</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深圳</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先行示范区建设全球海洋中心城市，积极推动研发实验基地落户陆丰。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积极引进深圳市的创新创业运营团队和孵化项目，通过改造旧厂房出租和加强规划建设创客城，重点围绕小五金、圣诞礼品、摩托车、模型玩具、服装品牌设计等行业建设一批孵化基地，打造科技企业孵化器、加速器等创新创业孵化育成平台。</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——加强教育深度融合。</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强与深圳学校教育资源融合共享，在智慧教育、教学研究、师资队伍建设、资源共享等方面加强合作，促进双方多元化合作，探索新模式、新途径，建立战略合作协调推进机制，打造跨区域教育合作模式高地。依托深圳教育资源优势，着力推进与深圳高水平职业院校在专业建设、人才培养等方面合作办学，争取共建一流学校，灵活实行“1+2”“2+3”“3+3”学制，支持深圳第二高级技工学校免费招收我市建档立卡贫困家庭</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学</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生就读。</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80" w:lineRule="auto"/>
              <w:ind w:left="0" w:leftChars="0"/>
              <w:jc w:val="center"/>
              <w:textAlignment w:val="baseline"/>
              <w:rPr>
                <w:rFonts w:hint="eastAsia"/>
                <w:b w:val="0"/>
                <w:i w:val="0"/>
                <w:caps w:val="0"/>
                <w:color w:val="000000" w:themeColor="text1"/>
                <w:spacing w:val="0"/>
                <w:w w:val="100"/>
                <w:sz w:val="30"/>
                <w:szCs w:val="30"/>
                <w:highlight w:val="none"/>
                <w:u w:val="none" w:color="auto"/>
                <w:lang w:eastAsia="zh-CN" w:bidi="ar"/>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专栏3-3 参与共建深圳都市圈的机制创新重点领域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bidi="ar"/>
                <w14:textFill>
                  <w14:solidFill>
                    <w14:schemeClr w14:val="tx1"/>
                  </w14:solidFill>
                </w14:textFill>
              </w:rPr>
              <w:t>1.成本共担利益共享机制：</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bidi="ar"/>
                <w14:textFill>
                  <w14:solidFill>
                    <w14:schemeClr w14:val="tx1"/>
                  </w14:solidFill>
                </w14:textFill>
              </w:rPr>
              <w:t>推动</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建立跨区域产业转移、园区合作、重大基础设施建设成本分担和产值、税收共享机制。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bidi="ar"/>
                <w14:textFill>
                  <w14:solidFill>
                    <w14:schemeClr w14:val="tx1"/>
                  </w14:solidFill>
                </w14:textFill>
              </w:rPr>
              <w:t>2.</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共同争取部分省级审批权限</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bidi="ar"/>
                <w14:textFill>
                  <w14:solidFill>
                    <w14:schemeClr w14:val="tx1"/>
                  </w14:solidFill>
                </w14:textFill>
              </w:rPr>
              <w:t>：</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bidi="ar"/>
                <w14:textFill>
                  <w14:solidFill>
                    <w14:schemeClr w14:val="tx1"/>
                  </w14:solidFill>
                </w14:textFill>
              </w:rPr>
              <w:t>共同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争取国家和广东省政策支持</w:t>
            </w:r>
            <w:r>
              <w:rPr>
                <w:rStyle w:val="36"/>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探索</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bidi="ar"/>
                <w14:textFill>
                  <w14:solidFill>
                    <w14:schemeClr w14:val="tx1"/>
                  </w14:solidFill>
                </w14:textFill>
              </w:rPr>
              <w:t>连同深圳</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都市圈</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bidi="ar"/>
                <w14:textFill>
                  <w14:solidFill>
                    <w14:schemeClr w14:val="tx1"/>
                  </w14:solidFill>
                </w14:textFill>
              </w:rPr>
              <w:t>相关</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城市制定轨道交通规划</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bidi="ar"/>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争取国家支持重点项目用海用地</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bidi="ar"/>
                <w14:textFill>
                  <w14:solidFill>
                    <w14:schemeClr w14:val="tx1"/>
                  </w14:solidFill>
                </w14:textFill>
              </w:rPr>
              <w:t>用林</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审批。</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bidi="ar"/>
                <w14:textFill>
                  <w14:solidFill>
                    <w14:schemeClr w14:val="tx1"/>
                  </w14:solidFill>
                </w14:textFill>
              </w:rPr>
              <w:t>3.都市圈用地政策创新：</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探索建立都市圈建设用地、补充耕地指标跨区域交易机制。建立健全城镇低效用地再开发激励约束机制和存量建设用地退出激励机制。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bidi="ar"/>
                <w14:textFill>
                  <w14:solidFill>
                    <w14:schemeClr w14:val="tx1"/>
                  </w14:solidFill>
                </w14:textFill>
              </w:rPr>
              <w:t>4共建区域国资运营平台：</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探索</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bidi="ar"/>
                <w14:textFill>
                  <w14:solidFill>
                    <w14:schemeClr w14:val="tx1"/>
                  </w14:solidFill>
                </w14:textFill>
              </w:rPr>
              <w:t>参与设立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都市圈建设基金，专项负责跨市重大基础设施投资、建设、运营、协调模式。</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lang w:bidi="ar"/>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bidi="ar"/>
                <w14:textFill>
                  <w14:solidFill>
                    <w14:schemeClr w14:val="tx1"/>
                  </w14:solidFill>
                </w14:textFill>
              </w:rPr>
              <w:t>5.共建统一开放的人力资源市场：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健全统一规范的人力资源市场体系，加快衔接劳动力、人才流动和交流合作机制，探索市场化的人才技能评价制度等。</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45" w:name="_Toc28726"/>
      <w:bookmarkStart w:id="46" w:name="_Toc10618"/>
      <w:bookmarkStart w:id="47" w:name="_Toc14671"/>
      <w:r>
        <w:rPr>
          <w:rFonts w:hint="eastAsia" w:ascii="黑体" w:hAnsi="黑体" w:eastAsia="黑体" w:cs="仿宋"/>
          <w:color w:val="000000" w:themeColor="text1"/>
          <w:sz w:val="32"/>
          <w:szCs w:val="32"/>
          <w:highlight w:val="none"/>
          <w14:textFill>
            <w14:solidFill>
              <w14:schemeClr w14:val="tx1"/>
            </w14:solidFill>
          </w14:textFill>
        </w:rPr>
        <w:t>第二节 全力融入“双区”</w:t>
      </w:r>
      <w:bookmarkEnd w:id="45"/>
      <w:bookmarkEnd w:id="46"/>
      <w:bookmarkEnd w:id="47"/>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主动积极参与粤港澳大湾区城市群功能分工，创造条件承接大湾区产业外溢，当好大湾区城市产业转移地。</w:t>
      </w:r>
    </w:p>
    <w:p>
      <w:pPr>
        <w:widowControl/>
        <w:snapToGrid w:val="0"/>
        <w:spacing w:before="0" w:beforeAutospacing="0" w:after="0" w:afterAutospacing="0" w:line="600" w:lineRule="exact"/>
        <w:ind w:firstLine="643" w:firstLineChars="200"/>
        <w:jc w:val="left"/>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一</w:t>
      </w:r>
      <w:r>
        <w:rPr>
          <w:rFonts w:hint="eastAsia" w:ascii="仿宋" w:hAnsi="仿宋" w:eastAsia="仿宋" w:cs="仿宋"/>
          <w:b/>
          <w:bCs/>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推进融入“双区”交通基础设施建设</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——融入“双区”铁路网建设。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构建与大湾区核心城市l小时经济圈。</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近期</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加快推进</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汕汕铁路</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陆丰南站和</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陆丰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东站建设，</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推动厦深铁路</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陆丰站扩容提质，加快站前广场项目建设。远期</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利用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深汕城际</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铁路项目</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争取</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串联陆丰南站、陆丰东站，东延至“三甲”片区，谋划推进陆丰市港区湖东作业区港口疏港铁路项目落地。</w:t>
      </w:r>
    </w:p>
    <w:p>
      <w:pPr>
        <w:pStyle w:val="6"/>
        <w:snapToGrid/>
        <w:spacing w:before="0" w:beforeAutospacing="0" w:after="0" w:afterAutospacing="0" w:line="600" w:lineRule="exact"/>
        <w:ind w:firstLine="643"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加快深</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港码头</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规划建设</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发挥海洋区位和口岸全方位开放优势，</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加快港口码头、岸线资源的整合，</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在原有湖东宝丽华码头基础上，规划在甲东和湖东新增2个深水港码头，建设深水泊位码头及航道，预留疏港铁路通道。积极配合省探索开通深圳—惠州—</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陆丰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海上旅游航线。</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2" w:type="dxa"/>
          </w:tcPr>
          <w:p>
            <w:pPr>
              <w:snapToGrid/>
              <w:spacing w:before="0" w:beforeAutospacing="0" w:after="0" w:afterAutospacing="0" w:line="400" w:lineRule="exact"/>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专栏3-4 交通对接“双区”工程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1.铁路项目：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推进汕汕铁路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，积极谋划湖东作业区港口疏港铁路。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推动厦深铁路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陆丰站扩容提质，加快站前广场项目建设。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2.公路项目：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加快建设大公路、大通道，缩短与</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湾区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核心城市的通勤时间。推进沈海高速公路陆丰段改扩建项目、S17揭惠高速南延线。推进国道228线甲子至南塘段、国道228线河西至星都段、国道324线内湖至城东段等一批国道升级改造项目。推进省道240线陆丰穿城段、省道510线陆丰市河西至西南段、省道238线八万至博美段路面改造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省道S510陆丰上英至海丰城东段</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珠东快速陆丰段</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广东滨海旅游公路、博美至碣石、城东经桥冲至碣石、陆丰东站和陆丰南站进站路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等一批</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干线公路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建设工程。建设国、省道干线网，推动市区至汕尾市区快速通道建设，推动接入“三甲”地区高速公路建设。</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3.港航项目：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快乌坎、金厢、碣石、甲子、湖东五个渔港改扩建工程，规划打造三个10万吨深港码头。在原有宝丽华码头基础上，规划甲东、湖东新增两个深水港码头，建设深水泊位码头及航道，实施中广核陆丰海洋工程基地水工工程（码头），积极配合省探索开通海上旅游航线。</w:t>
            </w:r>
          </w:p>
        </w:tc>
      </w:tr>
    </w:tbl>
    <w:p>
      <w:pPr>
        <w:widowControl/>
        <w:snapToGrid w:val="0"/>
        <w:spacing w:before="0" w:beforeAutospacing="0" w:after="0" w:afterAutospacing="0" w:line="600" w:lineRule="exact"/>
        <w:ind w:firstLine="643" w:firstLineChars="200"/>
        <w:jc w:val="left"/>
        <w:textAlignment w:val="baseline"/>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p>
    <w:p>
      <w:pPr>
        <w:widowControl/>
        <w:snapToGrid w:val="0"/>
        <w:spacing w:before="0" w:beforeAutospacing="0" w:after="0" w:afterAutospacing="0" w:line="600" w:lineRule="exact"/>
        <w:ind w:firstLine="643" w:firstLineChars="200"/>
        <w:jc w:val="left"/>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二、建设大湾区产业配套基地</w:t>
      </w:r>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加强与大湾区核心城市在产业发展、科技创新等方面的合作，大力推动湾区核心城市的高端产业、高成长性企业等在陆丰转化落地，延伸壮大电力能源、电子信息、高端装备制造、海洋生物产业链，努力建设成为大湾区产业转移承接地、产业链延伸区、产业集群配套基地。</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——打造“湾+区+带”产业转移承接地。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依托星都经济开发区、东海经济开发区已有基础，发挥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海洋、</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土地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生态等方面优势，完善基础设施建设。制定优惠投资政策，打造优质营商环境，积极承接“双区”及珠三角的优势产业转移。依托高水平产业园区和承接产业转移平台，主动对接高端装备制造、生物医药、海洋经济、循环产业、新材料等战略性新兴产业，坚持引资引智相结合，同步承接资本、技术、人才转移，着力打造“双区”先进制造业、战略性新兴产业转移的承接地、产业链延伸区和产业集群配套基地。</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加快先进制造业合作共建。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强市场要素对接，推进产业合作。对标“双区”标准，以先进制造业、战略性新兴产业、临港工业、能源产业、传统优势产业为主攻方向，积极引进上下游关联配套企业，打造一批重大先进制造业产业基地，承接“双区”先进制造业产业链条延伸和产业创新发展辐射带动。大力发展“陆丰人”经济，发挥乡贤优势，</w:t>
      </w:r>
      <w:r>
        <w:rPr>
          <w:rFonts w:hint="eastAsia" w:ascii="仿宋_GB2312" w:eastAsia="仿宋_GB2312"/>
          <w:b w:val="0"/>
          <w:i w:val="0"/>
          <w:caps w:val="0"/>
          <w:color w:val="000000" w:themeColor="text1"/>
          <w:spacing w:val="-6"/>
          <w:w w:val="100"/>
          <w:sz w:val="32"/>
          <w:szCs w:val="32"/>
          <w:highlight w:val="none"/>
          <w:u w:val="none" w:color="auto"/>
          <w:lang w:val="zh-CN"/>
          <w14:textFill>
            <w14:solidFill>
              <w14:schemeClr w14:val="tx1"/>
            </w14:solidFill>
          </w14:textFill>
        </w:rPr>
        <w:t>鼓励“双区”乡贤围绕小五金、圣诞礼品、模型玩具、服装设计、</w:t>
      </w:r>
      <w:r>
        <w:rPr>
          <w:rFonts w:hint="eastAsia" w:ascii="仿宋_GB2312" w:eastAsia="仿宋_GB2312"/>
          <w:b w:val="0"/>
          <w:i w:val="0"/>
          <w:caps w:val="0"/>
          <w:color w:val="000000" w:themeColor="text1"/>
          <w:spacing w:val="-6"/>
          <w:w w:val="100"/>
          <w:sz w:val="32"/>
          <w:szCs w:val="32"/>
          <w:highlight w:val="none"/>
          <w:u w:val="none" w:color="auto"/>
          <w:lang w:val="en-US" w:eastAsia="zh-CN"/>
          <w14:textFill>
            <w14:solidFill>
              <w14:schemeClr w14:val="tx1"/>
            </w14:solidFill>
          </w14:textFill>
        </w:rPr>
        <w:t>贝雕、麦秆画</w:t>
      </w:r>
      <w:r>
        <w:rPr>
          <w:rFonts w:hint="eastAsia" w:ascii="仿宋_GB2312" w:eastAsia="仿宋_GB2312"/>
          <w:b w:val="0"/>
          <w:i w:val="0"/>
          <w:caps w:val="0"/>
          <w:color w:val="000000" w:themeColor="text1"/>
          <w:spacing w:val="-6"/>
          <w:w w:val="100"/>
          <w:sz w:val="32"/>
          <w:szCs w:val="32"/>
          <w:highlight w:val="none"/>
          <w:u w:val="none" w:color="auto"/>
          <w:lang w:val="zh-CN"/>
          <w14:textFill>
            <w14:solidFill>
              <w14:schemeClr w14:val="tx1"/>
            </w14:solidFill>
          </w14:textFill>
        </w:rPr>
        <w:t>等传统优势产业开办高成长性现代制造企业。</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 xml:space="preserve"> </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80" w:lineRule="auto"/>
              <w:ind w:left="0" w:leftChars="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专栏3-5 打造先进制造业产业基地工程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1.海工装备产业：</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推进海洋工程及装备制造产业基地建设，重点发展临港海洋工程装备制造、海洋电子信息、海洋高端装备、海洋配套服务和其他海洋新兴产业。</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2.海洋生物产业：</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发挥陆丰岸线及海洋资源丰富优势，重点发展海洋医药、工业海洋生物制品、海洋生物功能制品和海洋生化制品。</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3.星都经济开发区产业布局：</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注重补链延链强链，打造优势产业集群，聚焦电子信息、新材料和新能源产业</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default"/>
                <w:b w:val="0"/>
                <w:i w:val="0"/>
                <w:caps w:val="0"/>
                <w:color w:val="000000" w:themeColor="text1"/>
                <w:spacing w:val="0"/>
                <w:w w:val="100"/>
                <w:sz w:val="28"/>
                <w:szCs w:val="28"/>
                <w:highlight w:val="none"/>
                <w:u w:val="none" w:color="auto"/>
                <w:lang w:val="en-US"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4.东海经济开发区扩区布局：</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支持东海经济开发区扩区规划建设南塘、碣石、三甲等三个民营产业工业园，形成一区三园模式产业平台，促进传统产业集聚优化升级。</w:t>
            </w:r>
          </w:p>
        </w:tc>
      </w:tr>
    </w:tbl>
    <w:p>
      <w:pPr>
        <w:widowControl/>
        <w:snapToGrid w:val="0"/>
        <w:spacing w:before="0" w:beforeAutospacing="0" w:after="0" w:afterAutospacing="0" w:line="600" w:lineRule="exact"/>
        <w:ind w:firstLine="643" w:firstLineChars="200"/>
        <w:jc w:val="left"/>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三、打造支撑大湾区优质生活圈建设的农产品基地</w:t>
      </w:r>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对接“双区”大市场，增强优质农副产品供应和保障能力，打造粤港澳大湾区、深圳先行示范区的“米袋子”“菜篮子”“果盘子”。</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面向粤港澳大湾区生活消费市场，充分挖掘我市农业发展潜力，提高农业产业化、品牌化水平，提升农产品品质，打通与“双区”的农产品产销流通渠道。</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完善农产品营销服务网络，搭建</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与“双区”的农产品网络信息发布和交易平台，加快推进市粮食仓库</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建设，谋划推动</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陆丰星都物流园区、南塘物流园区建设，加快线上线下融合，实现产销对接和物流匹配。</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实施扶持特供大湾区农产品及食品企业发展“五</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一</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”工程，健全农产品大湾区营销网络，推广“农超对接”等农产品产销一体化模式，精心组织现代农业经营主体和名特优农产品参加大湾区农产品宣传推介和展示促销活动，对接</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“双区”</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机关学校等团体单位开展集采集配，发展面向城市居民的社区便利店等零售网络；推进电子商务进农村，积极发展网络营销。</w:t>
      </w:r>
      <w:r>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 xml:space="preserve"> </w:t>
      </w:r>
    </w:p>
    <w:p>
      <w:pPr>
        <w:widowControl/>
        <w:snapToGrid w:val="0"/>
        <w:spacing w:before="0" w:beforeAutospacing="0" w:after="0" w:afterAutospacing="0" w:line="600" w:lineRule="exact"/>
        <w:ind w:firstLine="643" w:firstLineChars="200"/>
        <w:jc w:val="left"/>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四、推动与大湾区城市合作机制创新</w:t>
      </w:r>
    </w:p>
    <w:p>
      <w:pPr>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加强与大湾区各市的信息共享、平台共建、机制共通</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等各领域的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交流合作。进一步梳理事项清单，推动更多政府服务事项与“双区”实现“跨城通办”。</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——完善政策协同机制。</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建立重点领域制度规则和重大政策沟通协调机制，提高政策制定和执行协同性。全面实施全国市场准入负面清单，实行统一的市场准入制度。加强政策协同，在企业登记、土地管理、环境保护、投融资财税分享、人力资源管理、公共服务等政策领域建立协商机制，制定相关政策措施。建立统一规则，规范招商引资和人才招引政策。提高政策执行的协同性，强化环境联防联控、食品安全监管知识产权保护等领域的执法联动。</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——建立投融资保障机制。</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争取中央支持优先发行服务于深圳都市圈建设的地方政府专项债，支持跨区域的基础设施、新兴产业发展等重点领域项目的建设。鼓励各类金融机构通过市场化渠道，为跨区域投资的重大项目和重点企业提供金融支持。</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——推进医疗健康协作。</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强与大湾区各城市实现医疗卫生资源深度共享和卫生健康信息系统进一步对接，争取实现预约挂号、检验检查、健康档案、免疫接种、妇幼保健、公共卫生等资源共享、信息互通、结果互认。加快全市医疗机构“互联网+医疗健康”建设应用水平。深化我市医疗机构与大湾区公立医院的合作机制，共建“互联网+”医联体。建立卫生应急合作机制，提升突发卫生应急处置、紧急医学救援能力，实施重大公共卫生联防联控。</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14"/>
              <w:snapToGrid/>
              <w:spacing w:before="0" w:beforeAutospacing="0" w:after="0" w:afterAutospacing="0" w:line="480" w:lineRule="auto"/>
              <w:ind w:left="0" w:leftChars="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专栏3-6 加强与大湾区医院交流重点工程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14"/>
              <w:snapToGrid/>
              <w:spacing w:before="0" w:beforeAutospacing="0" w:after="0" w:afterAutospacing="0" w:line="400" w:lineRule="exact"/>
              <w:ind w:left="0" w:leftChars="0" w:firstLine="560"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加强与广州中医药大学第一附属医院、广州医科大学附属第三医院、深圳市人民医院等医院医学教育、人才培养培训、远程医疗等方面的合作，引进或培养一批名医、学科带头人。</w:t>
            </w:r>
          </w:p>
        </w:tc>
      </w:tr>
    </w:tbl>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加强</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文</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体交流</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强与大湾区在文化、体育会展等方面的交流合作。以举办特色文化展演活动等形式，推动正字戏、皮影戏、渔歌等非物质文化遗产进入大湾区文化舞台。以周恩来渡海处、周恩来养病旧址为重点的红色旅游为引领，加大与大湾区联合开展红色教育培训和举办革命传统教育、红色文化系列活动，为大湾区干部群众提供红色教育培训和实践基地。保护挖掘、开发利用好红色资源，加快打造红色文化传承弘扬工程，全面开展革命遗址遗迹保护利用工作。夯实牢固的思想道德基础，建设良好的经济社会发展八大环境和完善长效常态的创建工作机制。</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——深化人才交流合作。</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做好与</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双区</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人才交流对</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接，采取双向挂职、两地培训、委托培养等方式，争取</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双区</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加大对我市人才工作帮扶支持。聚焦解决人才发展中突出问题，打好人才“引、育、留、用”组合拳，立足重点产业和社会民生事业发展实际，大力引进党政、企业经营管理、专业技术高层次、急需紧缺性等领域方面人才，全面优化人才结构、壮大人才队伍，强化</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高质量发展人才保障。</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48" w:name="_Toc22686"/>
      <w:bookmarkStart w:id="49" w:name="_Toc21800"/>
      <w:bookmarkStart w:id="50" w:name="_Toc7295"/>
      <w:r>
        <w:rPr>
          <w:rFonts w:hint="eastAsia" w:ascii="黑体" w:hAnsi="黑体" w:eastAsia="黑体" w:cs="仿宋"/>
          <w:color w:val="000000" w:themeColor="text1"/>
          <w:sz w:val="32"/>
          <w:szCs w:val="32"/>
          <w:highlight w:val="none"/>
          <w14:textFill>
            <w14:solidFill>
              <w14:schemeClr w14:val="tx1"/>
            </w14:solidFill>
          </w14:textFill>
        </w:rPr>
        <w:t>第三节 积极携手汕潮揭</w:t>
      </w:r>
      <w:bookmarkEnd w:id="48"/>
      <w:bookmarkEnd w:id="49"/>
      <w:bookmarkEnd w:id="50"/>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——积极参与汕潮揭都市圈重大项目建设。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强化与汕潮揭都市圈在综合发展规划以及国土空间、产业发展、城市功能、生态环保、设施网络、公共服务等领域的规划衔接，加强统一市场建设、基础设施一体高效、公共服务共建共享、产业专业化分工协作、生态环境共保共治，提高与汕潮揭都市圈三个城市协同联动发展水平。积极对接服务汕头省域副中心城市建设，密切与汕头联系，学习借鉴汕头经济特区宝贵发展经验</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推进汕汕高铁（陆丰段）</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谋划推动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湖东疏港铁路等项目建设，全面融入汕潮揭一小时经济圈。加强与汕潮揭在能源、文旅产业的协同合作，支持陆丰优势企业参与汕潮揭都市圈生物医药、石化、新能源等重大项目建设，积极落实省委省政府关于大南海石化项目扩区的意见，承接大南海石化产业的溢出，在甲</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东镇</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规划建设大南海石化产业园汕尾东海岸石化基地，发展</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材料和精细化工产业。</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——加强与</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周边城市的协同</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做好“海洋、海岸、海港”三篇文章，科学划定全市“三区三线”，统筹城镇、农业生态空间，</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加强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与</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周边</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城市交通互联互通，</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强化承接周边城市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优势产业外溢</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国土空间</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保障能力</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。发挥岸线资源优势，积极</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推动</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港航</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的深度合作，以组合港的模式</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打造区域性</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港群。</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5"/>
              <w:snapToGrid/>
              <w:spacing w:before="0" w:beforeAutospacing="0" w:after="0" w:afterAutospacing="0" w:line="360" w:lineRule="auto"/>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专栏3-7 加强对周边城市规划对接主要领域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1.多层级国土空间规划对接：</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14:textFill>
                  <w14:solidFill>
                    <w14:schemeClr w14:val="tx1"/>
                  </w14:solidFill>
                </w14:textFill>
              </w:rPr>
              <w:t>跟踪参与</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完成《潮汕揭都市圈国土空间规划》、《汕尾市国土空间规划》、《陆丰市国土空间规划》</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编制</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。组织探索建立统一编制、联合报批、共同实施的规划管理体制，推动</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形成</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都市圈内国土空间规划“一张图”。</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2.重点领域国土空间保障：</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在基础设施互联互通、科技产业协同发展、生态环境共保共治等领域共同编制规划，</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共同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出台创新、产业、人才、投融资、金融等领域的配套政策和改革措施。</w:t>
            </w:r>
          </w:p>
        </w:tc>
      </w:tr>
    </w:tbl>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bookmarkStart w:id="51" w:name="_Toc32718"/>
      <w:bookmarkStart w:id="52" w:name="_Toc32002"/>
      <w:bookmarkStart w:id="53" w:name="_Toc14700"/>
      <w:bookmarkStart w:id="54" w:name="_Toc4489"/>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第四章 </w:t>
      </w:r>
      <w:bookmarkEnd w:id="51"/>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深入贯彻创新发展战略，打造高质量发展新引擎</w:t>
      </w:r>
      <w:bookmarkEnd w:id="52"/>
      <w:bookmarkEnd w:id="53"/>
      <w:bookmarkEnd w:id="54"/>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深入实施创新驱动发展战略，补齐创新短板，着力提高经济增长的质量和效益，实现经济发展新旧动能转换。积极融入大湾区创新体系，推动大湾区科研成果在陆丰转化。</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55" w:name="_Toc15912"/>
      <w:bookmarkStart w:id="56" w:name="_Toc16992_WPSOffice_Level3"/>
      <w:bookmarkStart w:id="57" w:name="_Toc29040"/>
      <w:bookmarkStart w:id="58" w:name="_Toc21066"/>
      <w:bookmarkStart w:id="59" w:name="_Toc10017"/>
      <w:r>
        <w:rPr>
          <w:rFonts w:hint="eastAsia" w:ascii="黑体" w:hAnsi="黑体" w:eastAsia="黑体" w:cs="仿宋"/>
          <w:color w:val="000000" w:themeColor="text1"/>
          <w:sz w:val="32"/>
          <w:szCs w:val="32"/>
          <w:highlight w:val="none"/>
          <w14:textFill>
            <w14:solidFill>
              <w14:schemeClr w14:val="tx1"/>
            </w14:solidFill>
          </w14:textFill>
        </w:rPr>
        <w:t xml:space="preserve">第一节 </w:t>
      </w:r>
      <w:bookmarkEnd w:id="55"/>
      <w:bookmarkEnd w:id="56"/>
      <w:r>
        <w:rPr>
          <w:rFonts w:hint="eastAsia" w:ascii="黑体" w:hAnsi="黑体" w:eastAsia="黑体" w:cs="仿宋"/>
          <w:color w:val="000000" w:themeColor="text1"/>
          <w:sz w:val="32"/>
          <w:szCs w:val="32"/>
          <w:highlight w:val="none"/>
          <w14:textFill>
            <w14:solidFill>
              <w14:schemeClr w14:val="tx1"/>
            </w14:solidFill>
          </w14:textFill>
        </w:rPr>
        <w:t>加快培育创新平台</w:t>
      </w:r>
      <w:bookmarkEnd w:id="57"/>
      <w:bookmarkEnd w:id="58"/>
      <w:bookmarkEnd w:id="59"/>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——发挥科技创新引领作用，加快创新载体建设。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主动融入粤港澳大湾区国际科技创新中心建设，充分利用深圳罗湖</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区</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对口帮扶的政策优势和深圳人才、技术、共享科研设备等创新资源优势，发展创新研发飞地模式，支持陆丰优势企业组织创新团队入驻深圳（汕尾）创新岛，促进形成“研发设计在深圳、转化落地在陆丰”的创新生态。</w:t>
      </w:r>
      <w:r>
        <w:rPr>
          <w:rFonts w:hint="eastAsia" w:ascii="仿宋_GB2312" w:eastAsia="仿宋_GB2312"/>
          <w:color w:val="000000" w:themeColor="text1"/>
          <w:sz w:val="32"/>
          <w:szCs w:val="32"/>
          <w:highlight w:val="none"/>
          <w14:textFill>
            <w14:solidFill>
              <w14:schemeClr w14:val="tx1"/>
            </w14:solidFill>
          </w14:textFill>
        </w:rPr>
        <w:t>加快先进能源广东省实验室汕尾分中心建设步伐</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，谋划现代农业产业技术研究中心，加大力度推动</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陆丰产业转移园</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申创省级高新区。扶持和培育高新技术企业，壮大高新技术企业数量和规模。</w:t>
      </w:r>
    </w:p>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——加快产业园区孵化育成平台建设。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鼓励政府和社会资本合作投资建设和运营孵化育成平台，推进东海经济开发区、星都经济开发区、海</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洋</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程</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基地、</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三甲地区工业园区及</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碣石、南塘等三个民营工业园区孵化育成平台建设；支持孵化机构以市场化手段集聚创新团队、创业项目、风（创）投机构等各类要素，形成“苗圃--孵化--加速”的科创企业孵化链条和“多元化、集成式”的孵化模式，并进一步加以完善专业镇的平台体系和特色产业基地的平台建设。</w:t>
      </w:r>
      <w:bookmarkStart w:id="60" w:name="_Toc19580_WPSOffice_Level3"/>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61" w:name="_Toc16046"/>
      <w:bookmarkStart w:id="62" w:name="_Toc18839"/>
      <w:bookmarkStart w:id="63" w:name="_Toc20121"/>
      <w:bookmarkStart w:id="64" w:name="_Toc3021"/>
      <w:r>
        <w:rPr>
          <w:rFonts w:hint="eastAsia" w:ascii="黑体" w:hAnsi="黑体" w:eastAsia="黑体" w:cs="仿宋"/>
          <w:color w:val="000000" w:themeColor="text1"/>
          <w:sz w:val="32"/>
          <w:szCs w:val="32"/>
          <w:highlight w:val="none"/>
          <w14:textFill>
            <w14:solidFill>
              <w14:schemeClr w14:val="tx1"/>
            </w14:solidFill>
          </w14:textFill>
        </w:rPr>
        <w:t>第二节</w:t>
      </w:r>
      <w:bookmarkEnd w:id="60"/>
      <w:r>
        <w:rPr>
          <w:rFonts w:hint="eastAsia" w:ascii="黑体" w:hAnsi="黑体" w:eastAsia="黑体" w:cs="仿宋"/>
          <w:color w:val="000000" w:themeColor="text1"/>
          <w:sz w:val="32"/>
          <w:szCs w:val="32"/>
          <w:highlight w:val="none"/>
          <w14:textFill>
            <w14:solidFill>
              <w14:schemeClr w14:val="tx1"/>
            </w14:solidFill>
          </w14:textFill>
        </w:rPr>
        <w:t xml:space="preserve"> </w:t>
      </w:r>
      <w:bookmarkEnd w:id="61"/>
      <w:r>
        <w:rPr>
          <w:rFonts w:hint="eastAsia" w:ascii="黑体" w:hAnsi="黑体" w:eastAsia="黑体" w:cs="仿宋"/>
          <w:color w:val="000000" w:themeColor="text1"/>
          <w:sz w:val="32"/>
          <w:szCs w:val="32"/>
          <w:highlight w:val="none"/>
          <w14:textFill>
            <w14:solidFill>
              <w14:schemeClr w14:val="tx1"/>
            </w14:solidFill>
          </w14:textFill>
        </w:rPr>
        <w:t>提高企业自主创新能力</w:t>
      </w:r>
      <w:bookmarkEnd w:id="62"/>
      <w:bookmarkEnd w:id="63"/>
      <w:bookmarkEnd w:id="64"/>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强化企业创新主体地位，实施“高企与科技型中小企业双倍增”计划，培育一批高成长性高新技术企业，鼓励具备条件的企业积极申报高新技术企业认定。加强科技型企业扶持力度，通过给予企业研发财政补助、发放创新券、实施科技项目等措施引导企业加大科技投入，促进企业进行自主创新能力建设，提升企业竞争力。支持企业申请专利，加强知识产权保护，围绕新材料、生物医药、新能源等战略性新兴产业开展核心技术攻关，提升创新能力。鼓励有条件的企业建立博士、博士后科研工作站，建设研发机构，积极开展省级企业重点实验室、省级工程技术研究中心、省级新型研发机构、省级企业技术中心申报工作，推进产学研深度融合。</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65" w:name="_Toc2012"/>
      <w:bookmarkStart w:id="66" w:name="_Toc18207_WPSOffice_Level3"/>
      <w:bookmarkStart w:id="67" w:name="_Toc8485"/>
      <w:bookmarkStart w:id="68" w:name="_Toc24357"/>
      <w:bookmarkStart w:id="69" w:name="_Toc21169"/>
      <w:r>
        <w:rPr>
          <w:rFonts w:hint="eastAsia" w:ascii="黑体" w:hAnsi="黑体" w:eastAsia="黑体" w:cs="仿宋"/>
          <w:color w:val="000000" w:themeColor="text1"/>
          <w:sz w:val="32"/>
          <w:szCs w:val="32"/>
          <w:highlight w:val="none"/>
          <w14:textFill>
            <w14:solidFill>
              <w14:schemeClr w14:val="tx1"/>
            </w14:solidFill>
          </w14:textFill>
        </w:rPr>
        <w:t xml:space="preserve">第三节 </w:t>
      </w:r>
      <w:bookmarkEnd w:id="65"/>
      <w:bookmarkEnd w:id="66"/>
      <w:r>
        <w:rPr>
          <w:rFonts w:hint="eastAsia" w:ascii="黑体" w:hAnsi="黑体" w:eastAsia="黑体" w:cs="仿宋"/>
          <w:color w:val="000000" w:themeColor="text1"/>
          <w:sz w:val="32"/>
          <w:szCs w:val="32"/>
          <w:highlight w:val="none"/>
          <w14:textFill>
            <w14:solidFill>
              <w14:schemeClr w14:val="tx1"/>
            </w14:solidFill>
          </w14:textFill>
        </w:rPr>
        <w:t>激发人才创新活力</w:t>
      </w:r>
      <w:bookmarkEnd w:id="67"/>
      <w:bookmarkEnd w:id="68"/>
      <w:bookmarkEnd w:id="69"/>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ascii="Times New Roman" w:hAnsi="Times New Roman" w:eastAsia="仿宋_GB2312"/>
          <w:b w:val="0"/>
          <w:i w:val="0"/>
          <w:caps w:val="0"/>
          <w:color w:val="000000" w:themeColor="text1"/>
          <w:spacing w:val="0"/>
          <w:w w:val="100"/>
          <w:sz w:val="32"/>
          <w:szCs w:val="32"/>
          <w:highlight w:val="none"/>
          <w:u w:val="none" w:color="auto"/>
          <w14:textFill>
            <w14:solidFill>
              <w14:schemeClr w14:val="tx1"/>
            </w14:solidFill>
          </w14:textFill>
        </w:rPr>
        <w:t>贯彻尊重劳动、尊重知识、尊重人才、尊重创造方针，实施人才强市战略，健全配套服务体系，完善聚才引才用才机制。</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制定科技人才发展战略目标和人才发展规划。强化与粤港澳大湾区和深圳先行示范区人才交流合作，优化高端人才引进政策，加大高端人才团队引进力度，实施《陆丰市人才计划》，培育聚集高水平的科技人才队伍。推进技术创新研发中心建设和科技项目入驻产业园区，重点引入一批硕士、博士，设立博士、博士后科研站，完善社会保障、公共服务、法治环境、行政管理等人才后勤配套服务，提升对中高端科技人才吸引力。加强培养创新型、技能型人才，支持陆丰高级技工学校建设，联合广州、深圳推动高职院校加强科技产业高技能人才培养。</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70" w:name="_Toc13682_WPSOffice_Level3"/>
      <w:bookmarkStart w:id="71" w:name="_Toc9997"/>
      <w:bookmarkStart w:id="72" w:name="_Toc6294"/>
      <w:bookmarkStart w:id="73" w:name="_Toc32030"/>
      <w:bookmarkStart w:id="74" w:name="_Toc8617"/>
      <w:r>
        <w:rPr>
          <w:rFonts w:hint="eastAsia" w:ascii="黑体" w:hAnsi="黑体" w:eastAsia="黑体" w:cs="仿宋"/>
          <w:color w:val="000000" w:themeColor="text1"/>
          <w:sz w:val="32"/>
          <w:szCs w:val="32"/>
          <w:highlight w:val="none"/>
          <w14:textFill>
            <w14:solidFill>
              <w14:schemeClr w14:val="tx1"/>
            </w14:solidFill>
          </w14:textFill>
        </w:rPr>
        <w:t xml:space="preserve">第四节 </w:t>
      </w:r>
      <w:bookmarkEnd w:id="70"/>
      <w:bookmarkEnd w:id="71"/>
      <w:r>
        <w:rPr>
          <w:rFonts w:hint="eastAsia" w:ascii="黑体" w:hAnsi="黑体" w:eastAsia="黑体" w:cs="仿宋"/>
          <w:color w:val="000000" w:themeColor="text1"/>
          <w:sz w:val="32"/>
          <w:szCs w:val="32"/>
          <w:highlight w:val="none"/>
          <w14:textFill>
            <w14:solidFill>
              <w14:schemeClr w14:val="tx1"/>
            </w14:solidFill>
          </w14:textFill>
        </w:rPr>
        <w:t>健全科技创新机制体制</w:t>
      </w:r>
      <w:bookmarkEnd w:id="72"/>
      <w:bookmarkEnd w:id="73"/>
      <w:bookmarkEnd w:id="74"/>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完善“基础研究+技术攻关+成果产业化+科技金融”全过程创新生态链，推动创新链、产业链、资本链有机融合和全面贯通。加强基础研发，营造鼓励基础研究、崇尚科学、探索真理的社会氛围，提升原始创新能力。推动应用牵引，促进创新科技与产业深度融合，丰富应用场景，加快新产业、新业态、新模式和新技术的探索与实践，在实际应用中推动进一步创新。推动科技与金融深度融合，加强知识产权保护，促进科技成果转移转换。持续加大研发投入，加快建立以政府投入为引导，社会资金投入为主体，企业、高校和科研院所等机构共同参与建设的多元化投入机制，激发研发积极性。完善金融支持创新体系，围绕创新链和产业链打造资金链，形成金融、科技和产业良性循环的三角互动，促进新技术产业化规模化应用。</w:t>
      </w: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bookmarkStart w:id="75" w:name="_Toc22076"/>
      <w:bookmarkStart w:id="76" w:name="_Toc12265"/>
      <w:bookmarkStart w:id="77" w:name="_Toc18214"/>
      <w:bookmarkStart w:id="78" w:name="_Toc32103"/>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第五章 </w:t>
      </w:r>
      <w:bookmarkEnd w:id="75"/>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坚决贯彻新发展理念，加快构建现代产业体系</w:t>
      </w:r>
      <w:bookmarkEnd w:id="76"/>
      <w:bookmarkEnd w:id="77"/>
      <w:bookmarkEnd w:id="78"/>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坚持陆海统筹聚集临港产业，积极承接产业转移外溢，畅通产业循环、市场循环和经济社会循环，着力打造大湾区重要产业“协作区”，构建自主可控、安全可靠的产业链供应链，融入大湾区产业分工体系，提升发展先进制造业</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现代服务业发展水平，</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积极发展</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海洋经济</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和</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数字经济，加快形成借助“双区”外力，迸发陆丰内力，强劲改革动力，全面提升经济活力的裂变发展新局面。</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79" w:name="_Toc10019"/>
      <w:bookmarkStart w:id="80" w:name="_Toc17472"/>
      <w:bookmarkStart w:id="81" w:name="_Toc24282"/>
      <w:bookmarkStart w:id="82" w:name="_Toc21196"/>
      <w:r>
        <w:rPr>
          <w:rFonts w:hint="eastAsia" w:ascii="黑体" w:hAnsi="黑体" w:eastAsia="黑体" w:cs="仿宋"/>
          <w:color w:val="000000" w:themeColor="text1"/>
          <w:sz w:val="32"/>
          <w:szCs w:val="32"/>
          <w:highlight w:val="none"/>
          <w14:textFill>
            <w14:solidFill>
              <w14:schemeClr w14:val="tx1"/>
            </w14:solidFill>
          </w14:textFill>
        </w:rPr>
        <w:t>第一节 提升发展先进制造业</w:t>
      </w:r>
      <w:bookmarkEnd w:id="79"/>
      <w:bookmarkEnd w:id="80"/>
      <w:bookmarkEnd w:id="81"/>
      <w:r>
        <w:rPr>
          <w:rFonts w:hint="eastAsia" w:ascii="黑体" w:hAnsi="黑体" w:eastAsia="黑体" w:cs="仿宋"/>
          <w:color w:val="000000" w:themeColor="text1"/>
          <w:sz w:val="32"/>
          <w:szCs w:val="32"/>
          <w:highlight w:val="none"/>
          <w14:textFill>
            <w14:solidFill>
              <w14:schemeClr w14:val="tx1"/>
            </w14:solidFill>
          </w14:textFill>
        </w:rPr>
        <w:t>与战略性新兴产业</w:t>
      </w:r>
      <w:bookmarkEnd w:id="82"/>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把握新一轮科技革命和产业变革发展机遇，坚持工业强市，以大产业大项目为抓手，巩固提升支柱产业，做大做强新能源产业，加速传统产业转型升级，着力强化重点行业关键环节的稳链补链强链，推动制造业集聚化跨越式发展。</w:t>
      </w:r>
    </w:p>
    <w:p>
      <w:pPr>
        <w:pStyle w:val="6"/>
        <w:snapToGrid/>
        <w:spacing w:before="0" w:beforeAutospacing="0" w:after="0" w:afterAutospacing="0" w:line="600" w:lineRule="exact"/>
        <w:ind w:firstLine="643"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——打造国家级能源基地。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高位推进新能源产业发展，推动煤炭消费尽早达峰，围绕打造粤东沿海经济带千亿级产业集群，大手笔大气魄打造“万亩千亿”月亮型大项目。全力推进核电产业发展，积极支持陆丰核电项目取得国家核准, 加快陆丰核电项目1、2号机组、陆丰核电项目5、6号机组项目建设，积极引进CAP1400自主核电技术、小型堆等三代核电技术，推进建设核电研发中心研究所，重点围绕核能综合利用、核级装备材料、辐射防护与大容量储能等领域开展研发工作，实现陆丰核电产业腾飞。提高海上风电核心竞争力，依托后湖和甲子海上风电项目，打造包括风电技术研发、风电场施工建设和运营维护、勘察设计、防腐材料、大型设备物流等在内的风电全产业体系，重点引进主机、法兰、齿轮箱、叶片、轴承、控制系统等和相关生产性服务企业，构造强大的陆丰海上风电特色产业链。加快发展高效火电产业，依托已有陆丰甲湖湾火电项目带动甲湖湾电厂3、4号机组项目和宝丽华甲湖湾能源基地项目建设，关闭效能低、污染重的小火电机组，推进高效能、高可靠性的大机组，支持火电企业建立燃料智能化管理系统，降低大气污染排放，推进火电产业绿色发展。创新发展光伏发电产业，</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将海上漂浮发电项目与水产养殖相结合，发展海上牧场，通过</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渔光互补”光伏发电项目，促进形成“上面发电，下面养鱼”的发电新模式，提升养殖户综合效益，减少水污染和大气污染。全力搭建以海上风电为特色，核电、光电火电联动发展的能源产业集群，打造国家级能源基地。</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jc w:val="center"/>
              <w:textAlignment w:val="baseline"/>
              <w:rPr>
                <w:rFonts w:ascii="仿宋_GB2312" w:eastAsia="仿宋_GB2312"/>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专栏5-1 “十四五”时期重大能源布局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6"/>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1.核电：</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主要在碣石镇规划建设百万千瓦级核电机组，重点推进陆丰核电项目1、2号机组和陆丰核电项目5、6号机组建设。</w:t>
            </w:r>
          </w:p>
          <w:p>
            <w:pPr>
              <w:pStyle w:val="6"/>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2.风电：</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主要在碣石镇、甲子镇搭建海上风电发电厂，配套建设海上升压站、集电海缆、登陆海缆，重点推进</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val="en-US" w:eastAsia="zh-CN"/>
                <w14:textFill>
                  <w14:solidFill>
                    <w14:schemeClr w14:val="tx1"/>
                  </w14:solidFill>
                </w14:textFill>
              </w:rPr>
              <w:t>后湖、</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甲子一二海上风电场</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val="en-US" w:eastAsia="zh-CN"/>
                <w14:textFill>
                  <w14:solidFill>
                    <w14:schemeClr w14:val="tx1"/>
                  </w14:solidFill>
                </w14:textFill>
              </w:rPr>
              <w:t>谋划推动</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中广核汕尾碣石海上风电场项目</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甲子三海上风电场项目</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val="en-US" w:eastAsia="zh-CN"/>
                <w14:textFill>
                  <w14:solidFill>
                    <w14:schemeClr w14:val="tx1"/>
                  </w14:solidFill>
                </w14:textFill>
              </w:rPr>
              <w:t>和深海风电场项目</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建设。</w:t>
            </w:r>
          </w:p>
          <w:p>
            <w:pPr>
              <w:pStyle w:val="6"/>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3.火电：</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规划建设百万千瓦级火电机组，重点推</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val="en-US" w:eastAsia="zh-CN"/>
                <w14:textFill>
                  <w14:solidFill>
                    <w14:schemeClr w14:val="tx1"/>
                  </w14:solidFill>
                </w14:textFill>
              </w:rPr>
              <w:t>动</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陆丰甲湖湾电厂3、4号机组建设。</w:t>
            </w:r>
          </w:p>
          <w:p>
            <w:pPr>
              <w:pStyle w:val="6"/>
              <w:snapToGrid/>
              <w:spacing w:before="0" w:beforeAutospacing="0" w:after="0" w:afterAutospacing="0" w:line="400" w:lineRule="exact"/>
              <w:ind w:firstLine="562" w:firstLineChars="200"/>
              <w:jc w:val="both"/>
              <w:textAlignment w:val="baseline"/>
              <w:rPr>
                <w:rFonts w:hint="eastAsia" w:ascii="仿宋_GB2312" w:eastAsia="仿宋_GB2312"/>
                <w:b w:val="0"/>
                <w:bCs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4.光电：</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重点推进中广核陆丰市内洋一期120MW渔光互补光伏发电项目。</w:t>
            </w:r>
          </w:p>
        </w:tc>
      </w:tr>
    </w:tbl>
    <w:p>
      <w:pPr>
        <w:snapToGrid/>
        <w:spacing w:before="0" w:beforeAutospacing="0" w:after="0" w:afterAutospacing="0" w:line="240" w:lineRule="auto"/>
        <w:ind w:firstLine="643" w:firstLineChars="200"/>
        <w:jc w:val="both"/>
        <w:textAlignment w:val="baseline"/>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——打造民营经济发展新引擎。</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大力发展“陆丰人”经济，充分发挥乡贤优势，实现“百企回陆，千商返乡”，</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以东海经济开发区扩园规划为契机，将</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三甲地区工业园区及</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碣石、南塘等三个民营工业园区</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列入东海经济开发区，实现一区多园</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形成民营工业“金三角”，着重建设家具配件产业园、电镀城、产品检测中心和展览中心等项目，推动五金、塑料、服装等传统产业企业集聚，解决环保问题，为企业转型升级发展创建有利条件和良好平台。推进园区工业用地“标准地”建设，全面实施“亩均论英雄”改革，促进园区土地集约节约、高效利用，吸引电子信息、新能源新材料、生物制药等产业链上下游企业集聚，提高产业层次。着力优化营商环境，通过三旧改造打造连片商贸市场，活跃商贸氛围。鼓励在碣石镇和三甲地区利用改造出租旧厂房搭建孵化基地众创空间，重点围绕小五金、圣诞礼品、模型玩具、服装品牌设计等行业创建产品孵化基地，组建创新技术研发团队。大力实施市场主体培育三年行动计划，加快推动“个转企”“小升规”“规转股”“股上市”，制定“四上”企业奖励扶持政策，力促企业做大做强。</w:t>
      </w:r>
    </w:p>
    <w:tbl>
      <w:tblPr>
        <w:tblStyle w:val="26"/>
        <w:tblpPr w:leftFromText="180" w:rightFromText="180" w:vertAnchor="text" w:horzAnchor="page" w:tblpXSpec="center" w:tblpY="240"/>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snapToGrid/>
              <w:spacing w:before="0" w:beforeAutospacing="0" w:after="0" w:afterAutospacing="0" w:line="5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 5-2“十四五”期间民营经济产业园布局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Style w:val="6"/>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eastAsia="zh-CN"/>
                <w14:textFill>
                  <w14:solidFill>
                    <w14:schemeClr w14:val="tx1"/>
                  </w14:solidFill>
                </w14:textFill>
              </w:rPr>
              <w:t>三甲地区工业园区</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打造三甲地区工业园，建设标准厂房，包括综合服务区、生产车间和加工区、产品存放区、原料存放区、员工宿舍、配电用房、消防、园区内外道路及配套工程；建设污水处理厂和垃圾中转站；建设停车场、公共发货区；建设商业后勤服务区及配套设施。建设以引导五金塑料家具配件产业集聚发展的五金产业园区厂房、市场交易平台、展厅、仓库等，形成五金家具配件行业产、供、销、展一条龙的现代化产业平台。</w:t>
            </w:r>
          </w:p>
          <w:p>
            <w:pPr>
              <w:widowControl/>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val="en-US" w:eastAsia="zh-CN"/>
                <w14:textFill>
                  <w14:solidFill>
                    <w14:schemeClr w14:val="tx1"/>
                  </w14:solidFill>
                </w14:textFill>
              </w:rPr>
              <w:t>2.</w:t>
            </w:r>
            <w:r>
              <w:rPr>
                <w:rStyle w:val="57"/>
                <w:rFonts w:hint="eastAsia" w:asciiTheme="minorEastAsia" w:hAnsiTheme="minorEastAsia" w:eastAsiaTheme="minorEastAsia" w:cstheme="minorEastAsia"/>
                <w:b/>
                <w:bCs/>
                <w:i w:val="0"/>
                <w:caps w:val="0"/>
                <w:color w:val="000000" w:themeColor="text1"/>
                <w:spacing w:val="0"/>
                <w:w w:val="100"/>
                <w:kern w:val="2"/>
                <w:sz w:val="28"/>
                <w:szCs w:val="28"/>
                <w:highlight w:val="none"/>
                <w:u w:val="none" w:color="auto"/>
                <w:lang w:val="en-US" w:eastAsia="zh-CN" w:bidi="ar-SA"/>
                <w14:textFill>
                  <w14:solidFill>
                    <w14:schemeClr w14:val="tx1"/>
                  </w14:solidFill>
                </w14:textFill>
              </w:rPr>
              <w:t>陆丰市东海经济开发区</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南塘民营工业园：</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打造南塘镇民营工业园，主要发展农林牧副渔产品加工业，服装、家具、电子、饰品等手工业。</w:t>
            </w:r>
          </w:p>
          <w:p>
            <w:pPr>
              <w:pStyle w:val="6"/>
              <w:snapToGrid/>
              <w:spacing w:before="0" w:beforeAutospacing="0" w:after="0" w:afterAutospacing="0" w:line="400" w:lineRule="exact"/>
              <w:ind w:firstLine="562" w:firstLineChars="200"/>
              <w:jc w:val="both"/>
              <w:textAlignment w:val="baseline"/>
              <w:rPr>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3.</w:t>
            </w:r>
            <w:r>
              <w:rPr>
                <w:rStyle w:val="57"/>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14:textFill>
                  <w14:solidFill>
                    <w14:schemeClr w14:val="tx1"/>
                  </w14:solidFill>
                </w14:textFill>
              </w:rPr>
              <w:t>陆丰市东海经济开发区</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碣石民营工业园：</w:t>
            </w:r>
            <w:r>
              <w:rPr>
                <w:rStyle w:val="57"/>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打造碣石镇民营工业园，引进与服装、圣诞饰品、模型玩具、摩托车配件有关企业，进行有序的市场分工，对外行程聚集效应，力争建成国内一流、具有较强国际竞争力的产业园。</w:t>
            </w:r>
          </w:p>
        </w:tc>
      </w:tr>
    </w:tbl>
    <w:p>
      <w:pPr>
        <w:pStyle w:val="6"/>
        <w:snapToGrid/>
        <w:spacing w:before="0" w:beforeAutospacing="0" w:after="0" w:afterAutospacing="0" w:line="240" w:lineRule="auto"/>
        <w:ind w:firstLine="643" w:firstLineChars="200"/>
        <w:jc w:val="both"/>
        <w:textAlignment w:val="baseline"/>
        <w:rPr>
          <w:rFonts w:ascii="Calibri" w:hAnsi="Calibri"/>
          <w:b w:val="0"/>
          <w:i w:val="0"/>
          <w:caps w:val="0"/>
          <w:color w:val="000000" w:themeColor="text1"/>
          <w:spacing w:val="0"/>
          <w:w w:val="100"/>
          <w:sz w:val="21"/>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——培育壮大战略性新兴产业。</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聚焦新一代信息技术产业、新材料、新能源等战略性新兴产业，大力培育新技术、新产品、新业态、新模式，加快形成产业发展新引擎。主动对接珠江东岸高端电子信息制造产业带，瞄准500强和大湾区先进整车及零部件企业开展招商引资，推动</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康佳电子、</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路华电子、比德能源扩大生产和技术研发，招引上下游配套企业，重点加快布局集成电路、电子及元器件、信息通信设备、新型显示器等领域的制造中心。增创新材料产业的新发展优势，依托汕尾高新区星都园区，构建新材料形成产业、新材料技术及装备制造产业、传统材料技术提升产业三大新材料产业集群，打造以装配式钢结构、高分子复合材料等产业为基础，环保科技产业、危废物品处理产业为配套的陆丰特色新材料产业链。谋划引进一批纯电动乘用车企业、实力较强的动力电池及材料、车用电机企业等，推动发展新能源汽车相关产业。</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83" w:name="_Toc5196"/>
      <w:bookmarkStart w:id="84" w:name="_Toc31679"/>
      <w:bookmarkStart w:id="85" w:name="_Toc9025"/>
      <w:bookmarkStart w:id="86" w:name="_Toc4369"/>
      <w:r>
        <w:rPr>
          <w:rFonts w:hint="eastAsia" w:ascii="黑体" w:hAnsi="黑体" w:eastAsia="黑体" w:cs="仿宋"/>
          <w:color w:val="000000" w:themeColor="text1"/>
          <w:sz w:val="32"/>
          <w:szCs w:val="32"/>
          <w:highlight w:val="none"/>
          <w14:textFill>
            <w14:solidFill>
              <w14:schemeClr w14:val="tx1"/>
            </w14:solidFill>
          </w14:textFill>
        </w:rPr>
        <w:t xml:space="preserve">第二节 </w:t>
      </w:r>
      <w:bookmarkEnd w:id="83"/>
      <w:r>
        <w:rPr>
          <w:rFonts w:hint="eastAsia" w:ascii="黑体" w:hAnsi="黑体" w:eastAsia="黑体" w:cs="仿宋"/>
          <w:color w:val="000000" w:themeColor="text1"/>
          <w:sz w:val="32"/>
          <w:szCs w:val="32"/>
          <w:highlight w:val="none"/>
          <w14:textFill>
            <w14:solidFill>
              <w14:schemeClr w14:val="tx1"/>
            </w14:solidFill>
          </w14:textFill>
        </w:rPr>
        <w:t>提升现代服务业发展水平</w:t>
      </w:r>
      <w:bookmarkEnd w:id="84"/>
      <w:bookmarkEnd w:id="85"/>
      <w:bookmarkEnd w:id="86"/>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坚持商贸旺市，突出发展文旅、现代物流、商贸、金融等生活性及生产性服务业。</w:t>
      </w:r>
    </w:p>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——全力构建金融支撑。</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坚持金融服务实体经济根本导向，大力推动金融高质量发展。吸引</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“双区”</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大型银行、保险、证券、信托、资产管理、商业保理、外汇结算、私募资金、风险投资机构到陆丰市设立分支机构，大力发展创业投资、绿色金融、投贷联动、理财保险市场，加强和规范融资租赁、融资担保、小额贷款公司、典当行等地方金融组织，引导更多金融资源支持实体经济发展。做好防范化解金融风险工作，优化和提升金融生态环境。理顺地方金融监管体制。构建普惠金融体系，强化金融对中小微企业、科技企业的支持，提升金融科技水平。</w:t>
      </w:r>
    </w:p>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——发展大物流。</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搭建现代物流发展体系，提高物流枢纽承载能力。推进重点的交通基础设施建设，打造立体便捷的交通网络，突出陆丰“东联西融”中枢地位。优化现代物流空间布局，加快推进物流专项规划编制实施工作，积极创建省级物流园区，构建“多节点，全面覆盖”现代物流空间网络体系，</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围绕星都经济开发区、</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碣石</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临</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港</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工业园（海工基地）、厦深铁路陆丰站、汕汕铁路（陆丰东站）</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，推动陆丰市客运公交站场、海产品仓储物流设施、星都物流园区、南塘物流园区</w:t>
      </w:r>
      <w:r>
        <w:rPr>
          <w:rFonts w:hint="eastAsia" w:ascii="仿宋_GB2312" w:hAnsi="Calibri" w:eastAsia="仿宋_GB2312"/>
          <w:b w:val="0"/>
          <w:i w:val="0"/>
          <w:caps w:val="0"/>
          <w:color w:val="000000" w:themeColor="text1"/>
          <w:spacing w:val="0"/>
          <w:w w:val="100"/>
          <w:sz w:val="32"/>
          <w:szCs w:val="32"/>
          <w:highlight w:val="none"/>
          <w:u w:val="none" w:color="auto"/>
          <w:lang w:val="zh-CN" w:eastAsia="zh-CN"/>
          <w14:textFill>
            <w14:solidFill>
              <w14:schemeClr w14:val="tx1"/>
            </w14:solidFill>
          </w14:textFill>
        </w:rPr>
        <w:t>、</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陆丰市货运快递物流园等客货运项目建设。推动现代物流提质增效，加快物流信息化建设，搭建物流公共信息平台，共享货源、车源和物流服务等信息；深化物流业与制造业、农产品加工业、商贸业的融合发展，引进物流相关制造、技术研发、咨询服务、商贸、商务、金融、会展等现代物流上下游企业，支持植物龙、宝丽华、南海海缆、中山</w:t>
      </w:r>
      <w:r>
        <w:rPr>
          <w:rFonts w:hint="eastAsia" w:ascii="仿宋_GB2312" w:hAnsi="Calibri" w:eastAsia="仿宋_GB2312"/>
          <w:b w:val="0"/>
          <w:i w:val="0"/>
          <w:caps w:val="0"/>
          <w:color w:val="000000" w:themeColor="text1"/>
          <w:spacing w:val="0"/>
          <w:w w:val="100"/>
          <w:sz w:val="32"/>
          <w:szCs w:val="32"/>
          <w:highlight w:val="none"/>
          <w:u w:val="none" w:color="auto"/>
          <w:lang w:val="zh-CN" w:eastAsia="zh-CN"/>
          <w14:textFill>
            <w14:solidFill>
              <w14:schemeClr w14:val="tx1"/>
            </w14:solidFill>
          </w14:textFill>
        </w:rPr>
        <w:t>明阳</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、广东长风、</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天能重工</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等龙头企业将采购、运输、仓储、配送等物流业务外包，构建供应链一体化协作体系。发展铁公港多式联运，建立多层次物流配送体系，打造“仓储+物流”一体化服务体系，降低物流成本，提高交通运输整体效率和服务水平，培育产业竞争优势。</w:t>
      </w:r>
    </w:p>
    <w:tbl>
      <w:tblPr>
        <w:tblStyle w:val="26"/>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snapToGrid/>
              <w:spacing w:before="0" w:beforeAutospacing="0" w:after="0" w:afterAutospacing="0" w:line="600" w:lineRule="exact"/>
              <w:jc w:val="center"/>
              <w:textAlignment w:val="baseline"/>
              <w:rPr>
                <w:b w:val="0"/>
                <w:i w:val="0"/>
                <w:caps w:val="0"/>
                <w:color w:val="000000" w:themeColor="text1"/>
                <w:spacing w:val="0"/>
                <w:w w:val="100"/>
                <w:sz w:val="30"/>
                <w:szCs w:val="30"/>
                <w:highlight w:val="none"/>
                <w:u w:val="none" w:color="auto"/>
                <w:lang w:val="zh-CN"/>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zh-CN" w:eastAsia="zh-CN" w:bidi="ar-SA"/>
                <w14:textFill>
                  <w14:solidFill>
                    <w14:schemeClr w14:val="tx1"/>
                  </w14:solidFill>
                </w14:textFill>
              </w:rPr>
              <w:t>专栏</w:t>
            </w: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5-3</w:t>
            </w:r>
            <w:r>
              <w:rPr>
                <w:rFonts w:hint="eastAsia" w:ascii="方正小标宋简体" w:hAnsi="黑体" w:eastAsia="方正小标宋简体" w:cstheme="minorBidi"/>
                <w:color w:val="000000" w:themeColor="text1"/>
                <w:kern w:val="2"/>
                <w:sz w:val="30"/>
                <w:szCs w:val="30"/>
                <w:highlight w:val="none"/>
                <w:lang w:val="zh-CN" w:eastAsia="zh-CN" w:bidi="ar-SA"/>
                <w14:textFill>
                  <w14:solidFill>
                    <w14:schemeClr w14:val="tx1"/>
                  </w14:solidFill>
                </w14:textFill>
              </w:rPr>
              <w:t xml:space="preserve"> </w:t>
            </w: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 xml:space="preserve"> </w:t>
            </w:r>
            <w:r>
              <w:rPr>
                <w:rFonts w:hint="eastAsia" w:ascii="方正小标宋简体" w:hAnsi="黑体" w:eastAsia="方正小标宋简体" w:cstheme="minorBidi"/>
                <w:color w:val="000000" w:themeColor="text1"/>
                <w:kern w:val="2"/>
                <w:sz w:val="30"/>
                <w:szCs w:val="30"/>
                <w:highlight w:val="none"/>
                <w:lang w:val="zh-CN" w:eastAsia="zh-CN" w:bidi="ar-SA"/>
                <w14:textFill>
                  <w14:solidFill>
                    <w14:schemeClr w14:val="tx1"/>
                  </w14:solidFill>
                </w14:textFill>
              </w:rPr>
              <w:t>陆丰物流园区布局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zh-CN"/>
                <w14:textFill>
                  <w14:solidFill>
                    <w14:schemeClr w14:val="tx1"/>
                  </w14:solidFill>
                </w14:textFill>
              </w:rPr>
              <w:t>1.星都物流园区：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梅汕高速星都出口在区内，交通运输便捷，物流网络条件具备。拟引进电子信息、节能环保、物流仓储等企业，并规划引入包括新材料及其相关产品和技术装备的研发、生产，具体涵盖新材料本身形成的产业，新材料技术及其装备制造业和传统材料技术提升的产业等。</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zh-CN"/>
                <w14:textFill>
                  <w14:solidFill>
                    <w14:schemeClr w14:val="tx1"/>
                  </w14:solidFill>
                </w14:textFill>
              </w:rPr>
              <w:t>2.南塘物流园区：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以汕汕铁路陆丰东站为中心，综合开发站场所在地白山村土地，构建物流仓储基地，包括物流信息平台、运输调度中心、货物分仓中心、消费品分拨配送中心等，配套相关物流运输设备及配套设施。</w:t>
            </w:r>
          </w:p>
        </w:tc>
      </w:tr>
    </w:tbl>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——发展大商贸。</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着力打造陆丰中心商务区，逐步培育发展网红经济、直播经济、夜间经济等商贸新模式新业态。优化陆丰商业布局，以</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陆丰市</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新时代</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市民</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广场为商业发展轴心，积极布局引进沃尔玛、华润万家等品牌商超，打造大型城市综合体，推动“东海美食一条街”等特色商业街区建设，形成餐饮购物、休闲娱乐、亲子教育、商务接待为一体的消费型商圈，加快业态集聚；依托城东城乡结合部优势，沿东埔-东环-金碣-城东大道四线打造环境宜居、以商品经济为主的居住商业区；依托物流园区布局，重点在碣石、湖东打造超大规模的蔬菜水果、农副产品、海产品批发中心市场，努力将陆丰打造为连接珠三角、辐射粤东的商品集散地。加快建立健全统一开放、竞争有序的现代市场体系，鼓励个人和企业依托互联网新媒体，发展“网红+直播+电商”商业模式，促进销售线上线下融合发展；依托</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陆城美食</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广场、马街商圈等商业街区建设</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和</w:t>
      </w:r>
      <w:r>
        <w:rPr>
          <w:rFonts w:hint="default"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东海镇上海村口至乌坎港滨海风情小镇</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打造</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夜间经济集聚区，全面提升商圈夜间灯光建设，引导商圈内商家延长营业时间，发展具有吸引力的夜间活动，打造“夜消费”为新消费热点，推动陆丰商贸蓬勃发展。</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500" w:lineRule="exact"/>
              <w:jc w:val="center"/>
              <w:textAlignment w:val="baseline"/>
              <w:rPr>
                <w:rFonts w:ascii="宋体" w:hAnsi="宋体" w:eastAsia="宋体"/>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w:t>
            </w:r>
            <w:r>
              <w:rPr>
                <w:rFonts w:hint="default"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 xml:space="preserve"> 5-4 </w:t>
            </w: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“十四五”期间产品市场建设重点项目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trPr>
        <w:tc>
          <w:tcPr>
            <w:tcW w:w="8296" w:type="dxa"/>
          </w:tcPr>
          <w:p>
            <w:pPr>
              <w:pStyle w:val="14"/>
              <w:numPr>
                <w:ilvl w:val="-1"/>
                <w:numId w:val="0"/>
              </w:numPr>
              <w:snapToGrid/>
              <w:spacing w:before="0" w:beforeAutospacing="0" w:after="0" w:afterAutospacing="0" w:line="400" w:lineRule="exact"/>
              <w:ind w:left="0" w:leftChars="0" w:firstLine="562" w:firstLineChars="200"/>
              <w:jc w:val="left"/>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p>
          <w:p>
            <w:pPr>
              <w:pStyle w:val="14"/>
              <w:numPr>
                <w:ilvl w:val="-1"/>
                <w:numId w:val="0"/>
              </w:numPr>
              <w:snapToGrid/>
              <w:spacing w:before="0" w:beforeAutospacing="0" w:after="0" w:afterAutospacing="0" w:line="400" w:lineRule="exact"/>
              <w:ind w:left="0" w:leftChars="0" w:firstLine="562" w:firstLineChars="200"/>
              <w:jc w:val="left"/>
              <w:textAlignment w:val="baseline"/>
              <w:rPr>
                <w:rFonts w:hint="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湖东镇农产品交易市场、冷链物流基地建设：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规划建设农产品交易市场、冷链物流基地、配套完善冷链物流基地等设施。</w:t>
            </w:r>
          </w:p>
        </w:tc>
      </w:tr>
    </w:tbl>
    <w:p>
      <w:pPr>
        <w:snapToGrid/>
        <w:spacing w:before="0" w:beforeAutospacing="0" w:after="0" w:afterAutospacing="0" w:line="600" w:lineRule="exact"/>
        <w:ind w:firstLine="643" w:firstLineChars="200"/>
        <w:jc w:val="both"/>
        <w:textAlignment w:val="baseline"/>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——发展大旅游。</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依托陆丰北部山区良好的山体、森林、农业、古民居等旅游资源，围绕八万、陂洋、铜锣湖、潭西等地打造北部山区生态休闲旅游带，适度开发生态旅游产品，推动八万“木兰”生态旅游特色小镇、白水寨和坎钟山森林公园、后坎温泉旅游区、沙溪温泉旅游区建设，打造成为“山水生态梦幻之都”。充分发挥陆丰作为重要的海陆丰革命根据地丰富的红色资源和浓厚的红色氛围优势，深度开发周恩来养病旧址、藏身洞、渡海处、陆丰农会旧址、红二师指挥部旧址、龙山烈士陵园、</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张威纪念亭</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等红色旅游资源，推进遗址遗迹、展示纪念馆、红色基因培育等项目建设，重点打造金厢红色滨海旅游区，建成粤东滨海爱国主义教育与体验基地，率先形成陆丰现代化滨海全域旅游示范区“红色堡垒”的主题形象。</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5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 5-5 陆丰创建广东省全域旅游示范区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1.总体规划目标：</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广东省全域旅游示范区、岭南地区最具魅力的滨海体育休闲旅游度假及红色爱国主义教育目的地。</w:t>
            </w:r>
          </w:p>
          <w:p>
            <w:pPr>
              <w:pStyle w:val="6"/>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2.总体战略定位：</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打造“红色堡垒，黄金海岸，溢彩陆丰”主题旅游形象，建成承接大深圳“东进战略”和“粤港澳大湾区发展战略”的粤东滨海休闲度假旅游目的地，建成宜居宜业宜游的现代化滨海全域旅游示范区。</w:t>
            </w:r>
          </w:p>
          <w:p>
            <w:pPr>
              <w:pStyle w:val="6"/>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3.发展空间布局：</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一心：</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东海都市休闲旅游综合服务中心。</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一轴：</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沿螺河两岸休闲旅游观光游憩区。</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两带：</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陆丰市“黄金海岸”人文滨海旅游带和北部山区生态休闲旅游带。</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五区：</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东海都市休闲游憩区、碣石滨海度假旅游区、金厢红色滨海旅游区、甲子滨海高端度假运动旅游区、八万山水生态观光度假旅游区。</w:t>
            </w:r>
          </w:p>
          <w:p>
            <w:pPr>
              <w:pStyle w:val="6"/>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4.发展路径：</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2025前后，提升和建设红色旅游景区（点），打造3条红色旅游线路，培育建设1-2个A级旅游特色村、2-3个自驾车旅居车营地、2-3家“金宿”“银宿”、4-6个省级休闲农业与乡村旅游示范镇（点）。打造金厢滩-碣石玄武山度假区，并创建5A景区1-2个。</w:t>
            </w:r>
          </w:p>
          <w:p>
            <w:pPr>
              <w:pStyle w:val="6"/>
              <w:snapToGrid/>
              <w:spacing w:before="0" w:beforeAutospacing="0" w:after="0" w:afterAutospacing="0" w:line="400" w:lineRule="exact"/>
              <w:ind w:firstLine="562" w:firstLineChars="200"/>
              <w:jc w:val="both"/>
              <w:textAlignment w:val="baseline"/>
              <w:rPr>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5.基础设施建设：</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一是全面完善以东海镇为中心的旅游公共服务体系，推动旅游交通网络、服务设施、全域旅游系统标识、旅游厕所、游憩设施、全域智慧旅游体系及旅游景区、酒店、娱乐、购物基地等旅游设施标准化建设，完善前往陆丰各乡镇景区（点）的旅游专线、旅游直通车建设，开通陆丰至主要客源地的旅游专线；二是培育提升核心景区，串点成线，由线及面，重点培育碣石玄武山旅游区、浅澳海底花园、福山妈祖景区、金厢下埔红色生态村等具有一定规模的旅游景区（点）；三是加快旅游信息化建设，推动智慧旅游发展。</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87" w:name="_Toc30078"/>
      <w:bookmarkStart w:id="88" w:name="_Toc23156"/>
      <w:bookmarkStart w:id="89" w:name="_Toc17473"/>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90" w:name="_Toc5972"/>
      <w:r>
        <w:rPr>
          <w:rFonts w:hint="eastAsia" w:ascii="黑体" w:hAnsi="黑体" w:eastAsia="黑体" w:cs="仿宋"/>
          <w:color w:val="000000" w:themeColor="text1"/>
          <w:sz w:val="32"/>
          <w:szCs w:val="32"/>
          <w:highlight w:val="none"/>
          <w14:textFill>
            <w14:solidFill>
              <w14:schemeClr w14:val="tx1"/>
            </w14:solidFill>
          </w14:textFill>
        </w:rPr>
        <w:t xml:space="preserve">第三节 </w:t>
      </w:r>
      <w:bookmarkEnd w:id="87"/>
      <w:r>
        <w:rPr>
          <w:rFonts w:hint="eastAsia" w:ascii="黑体" w:hAnsi="黑体" w:eastAsia="黑体" w:cs="仿宋"/>
          <w:color w:val="000000" w:themeColor="text1"/>
          <w:sz w:val="32"/>
          <w:szCs w:val="32"/>
          <w:highlight w:val="none"/>
          <w14:textFill>
            <w14:solidFill>
              <w14:schemeClr w14:val="tx1"/>
            </w14:solidFill>
          </w14:textFill>
        </w:rPr>
        <w:t>大力发展海洋经济</w:t>
      </w:r>
      <w:bookmarkEnd w:id="88"/>
      <w:bookmarkEnd w:id="89"/>
      <w:bookmarkEnd w:id="90"/>
    </w:p>
    <w:p>
      <w:pPr>
        <w:snapToGrid/>
        <w:spacing w:before="0" w:beforeAutospacing="0" w:after="0" w:afterAutospacing="0" w:line="600" w:lineRule="exact"/>
        <w:ind w:firstLine="640"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依托丰富海洋资源，发挥“海洋、海岸、海港”王牌优势，做大做强海洋经济。</w:t>
      </w:r>
    </w:p>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——打造海洋工程装备和设施制造领航区。</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全力推进临港工业园规划建设，将碣石海洋工程装备制造基地打造为具有高竞争力的海洋工程装备产业核心区，加快构建以海上风电高端装备制造为核心，关键配套为支撑，全链条式服务为特色的完整产业链。推进汕尾（陆丰）海工基地风机综合厂（明阳园区）、塔筒厂（青岛天能重工项目）、导管架厂（长风园区）、海底电缆厂（中天园区）、8000吨级专用码头及防波堤规划建设，着重引入主营钢管、高压管件、管道、卷板、起重机械设备、港口机械设备、海上风电配套装备及其配件的制造、加工、销售以及服务等全链条企业，完善上游装备设计、中游装备制造到下游维修服务等关键环节，推动海工基地升级为省级产业园。以海工基地为契合点，抢抓深圳打造全球海洋中心城市战略机遇，主动承接深圳海洋工程装备产业转型升级和智能化辐射，充分利用深圳强大核心技术攻关能力，谋求与深圳海洋龙头企业合作，形成“总部+基地”的发展模式，带动陆丰海洋电子信息、海洋高端装备、海洋可再生能源、海洋配套服务等海洋新兴产业发展，打造成为沿海经济带重要海工装备和设施制造领航区。</w:t>
      </w:r>
    </w:p>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——打造陆丰市大南海东海岸</w:t>
      </w:r>
      <w:r>
        <w:rPr>
          <w:rFonts w:hint="eastAsia" w:ascii="仿宋_GB2312" w:hAnsi="Calibri" w:eastAsia="仿宋_GB2312"/>
          <w:b/>
          <w:bCs/>
          <w:i w:val="0"/>
          <w:caps w:val="0"/>
          <w:color w:val="000000" w:themeColor="text1"/>
          <w:spacing w:val="0"/>
          <w:w w:val="100"/>
          <w:sz w:val="32"/>
          <w:szCs w:val="32"/>
          <w:highlight w:val="none"/>
          <w:u w:val="none" w:color="auto"/>
          <w:lang w:val="en-US" w:eastAsia="zh-CN"/>
          <w14:textFill>
            <w14:solidFill>
              <w14:schemeClr w14:val="tx1"/>
            </w14:solidFill>
          </w14:textFill>
        </w:rPr>
        <w:t>石</w:t>
      </w: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化产业基地。</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积极谋划石化产业联动发展，三甲、湖东、碣石等镇主动对接揭阳市，全面接受大南海石化辐射，充分利用大南海石化产业园资源，带动规划建设大南海石化产业园汕尾东海岸石化基地，按照烯烃+芳烃+化工新材料+新能源材料+特种精细化学品的思路，发展石油化工、化学品制造、医药化工、化纤、化工装备等材料和精细化工产业，结合三甲地区五金环保塑胶传统产业基础，引进炼化一体化下游配套深加工产业，形成以上游石油加工为主导、中下游化学品产品配套发展的上下游一体化的石化产业体系，打造汕尾东海岸新兴石化基地。</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专栏5-6 汕尾市“万亩千亿”高能级产业发展平台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w:t>
            </w:r>
            <w:r>
              <w:rPr>
                <w:rFonts w:hint="eastAsia" w:asciiTheme="minorEastAsia" w:hAnsiTheme="minorEastAsia" w:eastAsiaTheme="minorEastAsia" w:cstheme="minorEastAsia"/>
                <w:b/>
                <w:bCs/>
                <w:i w:val="0"/>
                <w:caps w:val="0"/>
                <w:color w:val="000000" w:themeColor="text1"/>
                <w:spacing w:val="13"/>
                <w:w w:val="100"/>
                <w:kern w:val="36"/>
                <w:sz w:val="28"/>
                <w:szCs w:val="28"/>
                <w:highlight w:val="none"/>
                <w:u w:val="none" w:color="auto"/>
                <w:lang w:val="en-US" w:eastAsia="zh-CN"/>
                <w14:textFill>
                  <w14:solidFill>
                    <w14:schemeClr w14:val="tx1"/>
                  </w14:solidFill>
                </w14:textFill>
              </w:rPr>
              <w:t>汕尾临港工业园</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主要发展能源和装备制造产业。支撑海上风电产业发展，建设装备研发、检测认证中心、工程与运维基地，形成集技术研发、设备制造、检测认证、建设安装、运行维护为一体的海洋工程集聚区。</w:t>
            </w:r>
          </w:p>
          <w:p>
            <w:pPr>
              <w:snapToGrid/>
              <w:spacing w:before="0" w:beforeAutospacing="0" w:after="0" w:afterAutospacing="0" w:line="400" w:lineRule="exact"/>
              <w:ind w:firstLine="562" w:firstLineChars="200"/>
              <w:jc w:val="both"/>
              <w:textAlignment w:val="baseline"/>
              <w:rPr>
                <w:b/>
                <w:bCs/>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2.大南海石化产业园汕尾东海岸石化基地：</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在甲东镇谋划建设石化基地，主要包括石化工业区、重装备产业区、港口物流区、科教研发区、综合服务区等，计划引入石化产业链上下游相关企业。</w:t>
            </w:r>
          </w:p>
        </w:tc>
      </w:tr>
    </w:tbl>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——大力发展港口经济。</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发挥陆丰海岸线长达191公里，距离国际航线14海里、香港120海里优势，着力推进海洋港口建设，加快港口转型升级，打造一流的现代化港口群。不断完善基础设施建设，以宝丽华码头为基础，推动“三甲”地区深水码头和湖东</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深水</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码头建设，积极谋划打造三个十万吨级深水港码头，建设深水泊位码头及航道。不断提升航运服务水平，以海公铁多式联运模式重点发展港口物流、保税物流和冷链物流等现代航运服务业，引进港口供应链服务企业，提供运输、仓储、通关、订舱、代理等一条龙全程港口物流服务。不断强化金融支持，打造海洋资源开发建设投融资平台，提升基础设施建设、临港产业投资开发、海洋资源开发等投融资能力，积极发挥资本市场对港口经济的支撑作用，强化资本运作能力，优化整合金融资源，围绕港口产业打造金融产业链，推动航运与金融深度融合发展。加快陆海统筹和港产联动，打造成为省对外开放门户和大湾区物品流通、产业集聚的重要平台。</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 5-7“十四五”期间港口码头布局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1.“三甲”地区：</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对已有甲东作业区进行内部升级改造，谋划建设商务型深水港码头。</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2.碣石镇：</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在碣石镇海洋工程基地谋划建设码头和防波堤，建造重泊位和运维泊位。</w:t>
            </w:r>
          </w:p>
          <w:p>
            <w:pPr>
              <w:pStyle w:val="14"/>
              <w:snapToGrid/>
              <w:spacing w:before="0" w:beforeAutospacing="0" w:after="0" w:afterAutospacing="0" w:line="400" w:lineRule="exact"/>
              <w:ind w:left="0" w:leftChars="0" w:firstLine="562" w:firstLineChars="200"/>
              <w:jc w:val="both"/>
              <w:textAlignment w:val="baseline"/>
              <w:rPr>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val="en-US" w:eastAsia="zh-CN"/>
                <w14:textFill>
                  <w14:solidFill>
                    <w14:schemeClr w14:val="tx1"/>
                  </w14:solidFill>
                </w14:textFill>
              </w:rPr>
              <w:t>3</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.湖东镇：</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谋划建设与现有电厂配套的十万吨级码头，建造中间码头泊位、拖轮泊位、防波堤、护岸、取水明渠及取水口等设施。</w:t>
            </w:r>
          </w:p>
        </w:tc>
      </w:tr>
    </w:tbl>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——大力发展现代渔业</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完善渔港基础设施建设，推进甲子渔港、碣石渔港、金厢渔港等沿海带渔港升级改造，建设交易市场、综合管理中心、深加工、冷链等渔港公共基础设施，着力发展海洋捕捞、海水养殖和海产品精深加工，带动冷冻冷链加工、仓储物流及休闲渔业等多元化产业发展，提升现代化渔港功能。聚焦产业升级，打造海洋牧场，谋划建设人工鱼礁项目，人工增殖水产苗种，移植大型藻类，引进海洋牧场项目，划定禁捕红线，逐步减少近海捕捞，推广生态健康养殖模式，扩大城东</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水墘</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蚝、金厢鱿鱼、陆丰虾姑、陆丰东溪虾、白沙乌鱼、赤蟹等陆丰特色海产品养殖规模，探索试养高附加值养殖品种，推动传统近岸海域养殖向深远海科学养殖发展，培育现代渔业高质量发展新要地。推动海洋牧场与滨海旅游融合发展，依托海洋牧场海上多功能平台，建设海洋牧场休闲海钓基地，开发食宿康养、垂钓潜水、科普研学等旅游项目，提升海洋牧场知名度和影响力，辐射带动周边区域发展。</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专栏5-8 “十四五”期间渔港布局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1.甲子渔港：</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建上岸码头、渔港管理中心、环保设施、导助航和监控指挥等设施，开展港池航道疏浚。</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2.碣石沿海一级渔港：</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谋划新建码头，加固护岸、防波堤，建设水产品交易市场，完善疏浚、水电消防设施、生态环境设施等。</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3.金厢渔港：</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规划打造一个渔业码头，建设大中型渔业码头泊位、加冰码头泊位、物资码头泊位及可供大、中、小三种渔船停泊的港内停泊锚地；建设防波堤、拦沙堤、船排滑道、修造船基地。</w:t>
            </w:r>
          </w:p>
          <w:p>
            <w:pPr>
              <w:snapToGrid/>
              <w:spacing w:before="0" w:beforeAutospacing="0" w:after="0" w:afterAutospacing="0" w:line="400" w:lineRule="exact"/>
              <w:ind w:left="0" w:leftChars="0"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4.湖东渔港：</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对现有码头升级改造，扩建码头、拦沙堤，新建护岸、港池及航道疏浚，建设交易市场、综合管理中心、深加工、冷链、海鲜街、渔民之家、修船厂、加油站等设施一批</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left="0" w:leftChars="0" w:firstLine="562" w:firstLineChars="200"/>
              <w:jc w:val="both"/>
              <w:textAlignment w:val="baseline"/>
              <w:rPr>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val="en-US" w:eastAsia="zh-CN"/>
                <w14:textFill>
                  <w14:solidFill>
                    <w14:schemeClr w14:val="tx1"/>
                  </w14:solidFill>
                </w14:textFill>
              </w:rPr>
              <w:t>5.乌坎港码头升级改造项目：</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val="en-US" w:eastAsia="zh-CN"/>
                <w14:textFill>
                  <w14:solidFill>
                    <w14:schemeClr w14:val="tx1"/>
                  </w14:solidFill>
                </w14:textFill>
              </w:rPr>
              <w:t>改造二个3000吨级码头，升级泊位，建设防波堤、新建护岸、港池及航道疏浚，建设海产品交易市场、海鲜街。</w:t>
            </w:r>
          </w:p>
        </w:tc>
      </w:tr>
    </w:tbl>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——大力发展海洋生物医药产业。</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依托丰富的海洋资源优势，加强精准招商引资，开展以商招商，推动海洋药物和生物制品业加快发展。坚持规划引领产业集群发展，编制陆丰市海洋生物医药产业发展规划，明确海洋生物医药资源禀赋现状，谋划建设海洋生物医药产业园区，引进“双区”海洋生物医药领域的高新技术企业、高等院校和科研院所，打造高端发展平台和人才团队，加强海洋创新药物研发攻关力度，构筑海洋生物医药产业发展核心竞争力。坚持发挥自身优势壮大产业规模，发挥东海海马保健酒强大品牌效应，引领带动海洋生物提炼、新型健康海产品等产业发展，引进一批高成长性的海洋生物医药产业，开发海洋生物保健品、功能食品等海洋创新型</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产品</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，提升海洋生物医药产业产值。</w:t>
      </w:r>
    </w:p>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——打造“粤东人文滨海旅游黄金海岸”。</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依托陆丰190公里长的海岸线优势、滨海地区良好的自然和生态条件，完善滨海旅游服务设施、改善旅游交通环境，优化景观风貌，推进金厢滩观音岭旅游度假区、碣石玄武山、</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乌坎-碣石</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和浅澳古炮台及卫城遗址、甲子镇滨海休闲观光旅游建设，开发滨海浴场、沙滩排球和沙滩足球、潜水、水上运动、滨水休闲度假等产品，进一步构建金厢红色滨海旅游度假区、碣石滨海度假旅游区、甲子高端滨海体育休闲度假旅游区三大滨海旅游区，依托滨海旅游公路建设串珠成链，积极引进具有较强运营能力的龙头企业，沿线发展餐饮、星级酒店、乡村客栈、民宿、购物等旅游服务业，打造汇集红色文化、渔业文化、古城、海防、滨海自然景观、休闲娱乐体验的滨海走廊精品路线，提升“粤东人文滨海旅游黄金海岸”品质，建成宜居宜业宜游的现代化滨海全域旅游示范区。</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专栏5-9 “十四五”期间滨海旅游区重点建设项目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1.金厢观音岭风景区</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：以观音岭古官道、碣石卫哨所等遗址挖掘观音岭历史文化内涵，以水月宫、妈祖等挖掘金厢人民信仰文化内涵，以镇海石、天水相与永等摩崖石刻挖掘石刻历史文化，以企鹅石、龙石、牛石、 和尚石等奇礁异石为依托，挖掘海蚀柱、海蚀岩、 海蚀墩等自然景观和古老传说，打响粤东黄金海岸名片。</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2.金厢</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eastAsia="zh-CN"/>
                <w14:textFill>
                  <w14:solidFill>
                    <w14:schemeClr w14:val="tx1"/>
                  </w14:solidFill>
                </w14:textFill>
              </w:rPr>
              <w:t>滨海度假</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旅游区</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：以</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十二岗村</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为基础，规划建设酒店、旅馆、游乐区等设施，提供住宿、美食、娱乐为一体的海滨度假区。</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3.碣石滨海度假旅游区</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加快实施《玄武山旅游发展总体规划》，全面完善旅游服务配套设施，促进景区提质升级，加强对全镇旅游资源的规划和开发，积极开辟玄武山与海上游览、滨海旖旎风光、浅澳古炮台及卫城遗址等旅游项目，发展壮大旅游产业，提高旅游综合效益。</w:t>
            </w:r>
          </w:p>
          <w:p>
            <w:pPr>
              <w:snapToGrid/>
              <w:spacing w:before="0" w:beforeAutospacing="0" w:after="0" w:afterAutospacing="0" w:line="400" w:lineRule="exact"/>
              <w:ind w:firstLine="562" w:firstLineChars="200"/>
              <w:jc w:val="both"/>
              <w:textAlignment w:val="baseline"/>
              <w:rPr>
                <w:rFonts w:hint="default" w:eastAsia="宋体"/>
                <w:color w:val="000000" w:themeColor="text1"/>
                <w:highlight w:val="none"/>
                <w:lang w:val="en-US"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val="en-US" w:eastAsia="zh-CN"/>
                <w14:textFill>
                  <w14:solidFill>
                    <w14:schemeClr w14:val="tx1"/>
                  </w14:solidFill>
                </w14:textFill>
              </w:rPr>
              <w:t>4.陆丰市东海镇上海村口至乌坎港滨海风情小镇项目</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val="en-US" w:eastAsia="zh-CN"/>
                <w14:textFill>
                  <w14:solidFill>
                    <w14:schemeClr w14:val="tx1"/>
                  </w14:solidFill>
                </w14:textFill>
              </w:rPr>
              <w:t>：发挥优质海岸线资源，打造集滨海旅游、沙滩运动、风情海岸为特色的滨海风情小镇。建设包括旅游馆、文体活动中心，打造景观示范带、灯光夜景，发展沙滩足球、沙滩排球、沙雕展示等文体活动。</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lang w:val="zh-CN"/>
          <w14:textFill>
            <w14:solidFill>
              <w14:schemeClr w14:val="tx1"/>
            </w14:solidFill>
          </w14:textFill>
        </w:rPr>
      </w:pPr>
      <w:bookmarkStart w:id="91" w:name="_Toc19"/>
      <w:bookmarkStart w:id="92" w:name="_Toc29145"/>
      <w:bookmarkStart w:id="93" w:name="_Toc3494"/>
      <w:bookmarkStart w:id="94" w:name="_Toc3075"/>
      <w:r>
        <w:rPr>
          <w:rFonts w:hint="eastAsia" w:ascii="黑体" w:hAnsi="黑体" w:eastAsia="黑体" w:cs="仿宋"/>
          <w:color w:val="000000" w:themeColor="text1"/>
          <w:sz w:val="32"/>
          <w:szCs w:val="32"/>
          <w:highlight w:val="none"/>
          <w14:textFill>
            <w14:solidFill>
              <w14:schemeClr w14:val="tx1"/>
            </w14:solidFill>
          </w14:textFill>
        </w:rPr>
        <w:t xml:space="preserve">第四节 </w:t>
      </w:r>
      <w:bookmarkEnd w:id="91"/>
      <w:r>
        <w:rPr>
          <w:rFonts w:hint="eastAsia" w:ascii="黑体" w:hAnsi="黑体" w:eastAsia="黑体" w:cs="仿宋"/>
          <w:color w:val="000000" w:themeColor="text1"/>
          <w:sz w:val="32"/>
          <w:szCs w:val="32"/>
          <w:highlight w:val="none"/>
          <w14:textFill>
            <w14:solidFill>
              <w14:schemeClr w14:val="tx1"/>
            </w14:solidFill>
          </w14:textFill>
        </w:rPr>
        <w:t>打造数字经济新高地</w:t>
      </w:r>
      <w:bookmarkEnd w:id="92"/>
      <w:bookmarkEnd w:id="93"/>
      <w:bookmarkEnd w:id="94"/>
    </w:p>
    <w:p>
      <w:pPr>
        <w:snapToGrid/>
        <w:spacing w:before="0" w:beforeAutospacing="0" w:after="0" w:afterAutospacing="0" w:line="600" w:lineRule="exact"/>
        <w:ind w:firstLine="643" w:firstLineChars="200"/>
        <w:jc w:val="both"/>
        <w:textAlignment w:val="baseline"/>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——聚焦5G产业创新发展</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统筹利用城市公共资源，以应用需求为导向，适当超前、科学布局、有序推进5G基础设施建设，构建覆盖完善、场景丰富、满足多样化需求的5G网络服务体系。体系化推进5G产业发展，充分发挥5G新型基础设施的规模效应和带动作用，融合数字孪生能力、大数据和人工智能技术，搭建“5G+工业园区”等应用试点建设，培育5G发展新业态；强化精准招商，引进</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“双区”</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相关领域骨干企业和“5G+”领域相关企业的配套企业落户陆丰，培育一批具有发展潜力的5G分支领域企业，补齐产业链关键环节，打造具有国际竞争力的5G产业集群。</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jc w:val="center"/>
              <w:textAlignment w:val="baseline"/>
              <w:rPr>
                <w:rFonts w:hint="eastAsia"/>
                <w:b w:val="0"/>
                <w:i w:val="0"/>
                <w:caps w:val="0"/>
                <w:color w:val="000000" w:themeColor="text1"/>
                <w:spacing w:val="0"/>
                <w:w w:val="100"/>
                <w:sz w:val="30"/>
                <w:szCs w:val="30"/>
                <w:highlight w:val="none"/>
                <w:u w:val="none" w:color="auto"/>
                <w:lang w:val="zh-CN"/>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zh-CN" w:eastAsia="zh-CN" w:bidi="ar-SA"/>
                <w14:textFill>
                  <w14:solidFill>
                    <w14:schemeClr w14:val="tx1"/>
                  </w14:solidFill>
                </w14:textFill>
              </w:rPr>
              <w:t>专栏5-10 陆丰市5G应用及配套建设项目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ind w:firstLine="560" w:firstLineChars="200"/>
              <w:jc w:val="both"/>
              <w:textAlignment w:val="baseline"/>
              <w:rPr>
                <w:rFonts w:hint="eastAsia"/>
                <w:b w:val="0"/>
                <w:i w:val="0"/>
                <w:caps w:val="0"/>
                <w:color w:val="000000" w:themeColor="text1"/>
                <w:spacing w:val="0"/>
                <w:w w:val="100"/>
                <w:sz w:val="28"/>
                <w:szCs w:val="28"/>
                <w:highlight w:val="none"/>
                <w:u w:val="none" w:color="auto"/>
                <w:lang w:val="zh-CN"/>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建设“5G+智慧工业园区”，涵盖广东汕尾星都经济开发区、陆丰</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东海经济开发区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、汕尾海洋工程基地、陆丰市三甲地区工业园区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及南塘、碣石民营工业园区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部署园区POL系统、智慧园区一卡通、智能停车、园区视听管理、智慧路灯、智慧安防基础设施系统；针对园区的生产、办公、管理等不同需求，搭建工业生产网、企业信息网、园区公共服务网络、5G通信网等传送网络及配套的通信机房；建设园区运营指挥中心和数据中心机房，搭建智慧园区综合应用平台，集园区综合安防、园区便捷通行、园区设施管理、园区资产管理、园区能耗管理、园区环境空间管理于一体。通过5G、物联网等新技术的赋能，为本市的产业升级奠定基础。</w:t>
            </w:r>
          </w:p>
        </w:tc>
      </w:tr>
    </w:tbl>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——打造“智慧旅游景区”。</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利用大数据、移动互联网、人工智能、云计算、虚拟现实、高速通信技术、地理信息系统等数字技术，将智慧元素融入景区服务、景区管理、营销宣传、游客体验多方面，推进陆丰各旅游景区升级为智慧旅游景区。推进旅游服务智慧化，打造东海镇为陆丰旅游发展的集散中心，加快游客服务中心和旅游数据中心建设，搭建陆丰旅游大数据平台，整合包括旅行社、酒店、交通、公安、景点门票等旅游信息资源，通过APP、微信公众号等网络终端发布旅游相关信息，支持全线旅游产品网上预订支付，建设诚信体系和投诉平台，全面覆盖游客旅游前中后的各项需求，推动实现“一部手机游陆丰”，优化游客旅游体验。推进旅游管理智慧化，促进旅游景区与公安、交通、工商、卫生等部门形成信息共享和协作联动，切实维护旅游市场秩序，保障旅游安全；鼓励旅游企业依托大数据平台分析游客需求变化，开发更能满足游客需求的旅游产品，实现科学决策。推进旅游营销智慧化，依托各地特色产品，制定差异化精准有效营销方案，借助小程序、优惠券、拼团、网络直播等多元化互动营销</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模式</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，创新旅游产品营销方式，推动传统旅游消费方式向现代旅游消费方式转变。</w:t>
      </w:r>
    </w:p>
    <w:p>
      <w:pPr>
        <w:snapToGrid/>
        <w:spacing w:before="0" w:beforeAutospacing="0" w:after="0" w:afterAutospacing="0" w:line="600" w:lineRule="exact"/>
        <w:ind w:firstLine="643" w:firstLineChars="200"/>
        <w:jc w:val="both"/>
        <w:textAlignment w:val="baseline"/>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——推进电子商务新发展。</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依托物流区布局及大市场建设，发展“互联网+产业”电子商务模式，在农产品、五金塑料、圣诞礼品等领域打造一批电子商务平台，重点推进省级电子商务进农村综合示范项目建设，新增市级农村电商公共服务中心、镇级服务站和村级服务点，通过互联网平台对接农村资源及各种服务，打通农产品生产、销售各环节。积极引进淘宝、京东、拼多多等知名电商企业，培育陆丰农村电商产品品牌，培养电子商务人才，创新电子商务模式，通过网络直播、电商、社群等方式拓宽农产品销售渠道，推广陆丰特色农产品品牌，减少农产品流通环节，推动农产品流通业态创新，健全完备乡村产业体系。</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600" w:lineRule="exact"/>
              <w:jc w:val="center"/>
              <w:textAlignment w:val="baseline"/>
              <w:rPr>
                <w:b/>
                <w:bCs/>
                <w:i w:val="0"/>
                <w:caps w:val="0"/>
                <w:color w:val="000000" w:themeColor="text1"/>
                <w:spacing w:val="0"/>
                <w:w w:val="100"/>
                <w:sz w:val="30"/>
                <w:szCs w:val="30"/>
                <w:highlight w:val="none"/>
                <w:u w:val="none" w:color="auto"/>
                <w:lang w:val="zh-CN"/>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zh-CN" w:eastAsia="zh-CN" w:bidi="ar-SA"/>
                <w14:textFill>
                  <w14:solidFill>
                    <w14:schemeClr w14:val="tx1"/>
                  </w14:solidFill>
                </w14:textFill>
              </w:rPr>
              <w:t xml:space="preserve">专栏 </w:t>
            </w: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5-11</w:t>
            </w:r>
            <w:r>
              <w:rPr>
                <w:rFonts w:hint="eastAsia" w:ascii="方正小标宋简体" w:hAnsi="黑体" w:eastAsia="方正小标宋简体" w:cstheme="minorBidi"/>
                <w:color w:val="000000" w:themeColor="text1"/>
                <w:kern w:val="2"/>
                <w:sz w:val="30"/>
                <w:szCs w:val="30"/>
                <w:highlight w:val="none"/>
                <w:lang w:val="zh-CN" w:eastAsia="zh-CN" w:bidi="ar-SA"/>
                <w14:textFill>
                  <w14:solidFill>
                    <w14:schemeClr w14:val="tx1"/>
                  </w14:solidFill>
                </w14:textFill>
              </w:rPr>
              <w:t xml:space="preserve"> 国家级电子商务进农村综合示范项目建设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ind w:firstLine="560"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在省级电子商务进农村综合示范项目的基础上进行完善升级，建设国家级电子商务公务服务中心、电商务产业园，23个镇级电商服务站建设实现全覆盖，优化村级服务点占全市行政村50%以上，完成不少于5000人次电子商务培训，有劳动能力的建档立卡贫困人口的培训率达到50%(外出务工者除外)。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持</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建设农村特色电商产业基地、创业园，发展特色电商小镇和电商示范村，完善农村电商产业发展营销服务体系。建设完善农村电商物流体系</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w:t>
            </w:r>
          </w:p>
        </w:tc>
      </w:tr>
    </w:tbl>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——加快传统产业数字化转型。</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围绕数字经济服务于实体经济，通过数字化手段提高实体经济实力与效率，以智能化绿色化为方向，推动传统产业突破发展瓶颈。大力发展工业互联网，推动圣诞产品、服装、五金塑料等传统制造业企业“上云上平台”，为中小企业提供一站式信息化服务，打破企业数据孤岛，降低企业发展成本。推进5G、人工智能、云计算、大数据、区块链等数字技术在传统优势产业应用，鼓励引导传统产业企业数字化、网络化、智能化改造升级，推动“机器换人”，支持甲子镇五金行业引进五金制造国产机器人、人工数控五金加工智能科技等先进数字生产力，提升生产效率；支持服装制造行业依靠云平台对接客户需求，发展个性化定制、服务型定制及云制造等新模式，推进服装制造产业转型升级。</w:t>
      </w:r>
    </w:p>
    <w:p>
      <w:pPr>
        <w:pStyle w:val="7"/>
        <w:snapToGrid/>
        <w:spacing w:before="0" w:beforeAutospacing="0" w:after="0" w:afterAutospacing="0" w:line="240" w:lineRule="auto"/>
        <w:jc w:val="center"/>
        <w:textAlignment w:val="baseline"/>
        <w:rPr>
          <w:rFonts w:hint="default" w:eastAsia="黑体"/>
          <w:b w:val="0"/>
          <w:i w:val="0"/>
          <w:caps w:val="0"/>
          <w:color w:val="000000" w:themeColor="text1"/>
          <w:spacing w:val="0"/>
          <w:w w:val="100"/>
          <w:sz w:val="24"/>
          <w:highlight w:val="none"/>
          <w:u w:val="none" w:color="auto"/>
          <w:lang w:val="en-US" w:eastAsia="zh-CN"/>
          <w14:textFill>
            <w14:solidFill>
              <w14:schemeClr w14:val="tx1"/>
            </w14:solidFill>
          </w14:textFill>
        </w:rPr>
      </w:pPr>
      <w:bookmarkStart w:id="95" w:name="_Toc7491"/>
      <w:bookmarkStart w:id="96" w:name="_Toc59331231"/>
      <w:r>
        <w:rPr>
          <w:rFonts w:hint="eastAsia" w:ascii="仿宋_GB2312" w:hAnsi="Calibri" w:eastAsia="仿宋_GB2312"/>
          <w:b w:val="0"/>
          <w:i w:val="0"/>
          <w:caps w:val="0"/>
          <w:color w:val="000000" w:themeColor="text1"/>
          <w:spacing w:val="0"/>
          <w:w w:val="100"/>
          <w:sz w:val="24"/>
          <w:highlight w:val="none"/>
          <w:u w:val="none" w:color="auto"/>
          <w:lang w:val="zh-CN"/>
          <w14:textFill>
            <w14:solidFill>
              <w14:schemeClr w14:val="tx1"/>
            </w14:solidFill>
          </w14:textFill>
        </w:rPr>
        <w:drawing>
          <wp:anchor distT="0" distB="0" distL="114300" distR="114300" simplePos="0" relativeHeight="251662336" behindDoc="0" locked="0" layoutInCell="1" allowOverlap="1">
            <wp:simplePos x="0" y="0"/>
            <wp:positionH relativeFrom="column">
              <wp:posOffset>-238760</wp:posOffset>
            </wp:positionH>
            <wp:positionV relativeFrom="paragraph">
              <wp:posOffset>49530</wp:posOffset>
            </wp:positionV>
            <wp:extent cx="5818505" cy="3949700"/>
            <wp:effectExtent l="0" t="0" r="3175" b="12700"/>
            <wp:wrapTopAndBottom/>
            <wp:docPr id="14" name="图片 14" descr="C:\Users\Administrator\Desktop\BB.png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strator\Desktop\BB.pngBB"/>
                    <pic:cNvPicPr>
                      <a:picLocks noChangeAspect="1"/>
                    </pic:cNvPicPr>
                  </pic:nvPicPr>
                  <pic:blipFill>
                    <a:blip r:embed="rId11"/>
                    <a:srcRect/>
                    <a:stretch>
                      <a:fillRect/>
                    </a:stretch>
                  </pic:blipFill>
                  <pic:spPr>
                    <a:xfrm>
                      <a:off x="0" y="0"/>
                      <a:ext cx="5818505" cy="3949700"/>
                    </a:xfrm>
                    <a:prstGeom prst="rect">
                      <a:avLst/>
                    </a:prstGeom>
                  </pic:spPr>
                </pic:pic>
              </a:graphicData>
            </a:graphic>
          </wp:anchor>
        </w:drawing>
      </w:r>
      <w:bookmarkEnd w:id="95"/>
      <w:r>
        <w:rPr>
          <w:rFonts w:ascii="Arial" w:hAnsi="Arial" w:eastAsia="黑体"/>
          <w:b w:val="0"/>
          <w:i w:val="0"/>
          <w:caps w:val="0"/>
          <w:color w:val="000000" w:themeColor="text1"/>
          <w:spacing w:val="0"/>
          <w:w w:val="100"/>
          <w:sz w:val="24"/>
          <w:highlight w:val="none"/>
          <w:u w:val="none" w:color="auto"/>
          <w14:textFill>
            <w14:solidFill>
              <w14:schemeClr w14:val="tx1"/>
            </w14:solidFill>
          </w14:textFill>
        </w:rPr>
        <w:t>图5-</w:t>
      </w:r>
      <w:r>
        <w:rPr>
          <w:b w:val="0"/>
          <w:i w:val="0"/>
          <w:caps w:val="0"/>
          <w:color w:val="000000" w:themeColor="text1"/>
          <w:spacing w:val="0"/>
          <w:w w:val="100"/>
          <w:sz w:val="20"/>
          <w:highlight w:val="none"/>
          <w:u w:val="none" w:color="auto"/>
          <w14:textFill>
            <w14:solidFill>
              <w14:schemeClr w14:val="tx1"/>
            </w14:solidFill>
          </w14:textFill>
        </w:rPr>
        <w:fldChar w:fldCharType="begin"/>
      </w:r>
      <w:r>
        <w:rPr>
          <w:b w:val="0"/>
          <w:i w:val="0"/>
          <w:caps w:val="0"/>
          <w:color w:val="000000" w:themeColor="text1"/>
          <w:spacing w:val="0"/>
          <w:w w:val="100"/>
          <w:sz w:val="20"/>
          <w:highlight w:val="none"/>
          <w:u w:val="none" w:color="auto"/>
          <w14:textFill>
            <w14:solidFill>
              <w14:schemeClr w14:val="tx1"/>
            </w14:solidFill>
          </w14:textFill>
        </w:rPr>
        <w:instrText xml:space="preserve"> SEQ 图5- \* ARABIC </w:instrText>
      </w:r>
      <w:r>
        <w:rPr>
          <w:b w:val="0"/>
          <w:i w:val="0"/>
          <w:caps w:val="0"/>
          <w:color w:val="000000" w:themeColor="text1"/>
          <w:spacing w:val="0"/>
          <w:w w:val="100"/>
          <w:sz w:val="20"/>
          <w:highlight w:val="none"/>
          <w:u w:val="none" w:color="auto"/>
          <w14:textFill>
            <w14:solidFill>
              <w14:schemeClr w14:val="tx1"/>
            </w14:solidFill>
          </w14:textFill>
        </w:rPr>
        <w:fldChar w:fldCharType="separate"/>
      </w:r>
      <w:r>
        <w:rPr>
          <w:rFonts w:ascii="Arial" w:hAnsi="Arial" w:eastAsia="黑体"/>
          <w:b w:val="0"/>
          <w:i w:val="0"/>
          <w:caps w:val="0"/>
          <w:color w:val="000000" w:themeColor="text1"/>
          <w:spacing w:val="0"/>
          <w:w w:val="100"/>
          <w:sz w:val="24"/>
          <w:highlight w:val="none"/>
          <w:u w:val="none" w:color="auto"/>
          <w14:textFill>
            <w14:solidFill>
              <w14:schemeClr w14:val="tx1"/>
            </w14:solidFill>
          </w14:textFill>
        </w:rPr>
        <w:t>1</w:t>
      </w:r>
      <w:r>
        <w:rPr>
          <w:b w:val="0"/>
          <w:i w:val="0"/>
          <w:caps w:val="0"/>
          <w:color w:val="000000" w:themeColor="text1"/>
          <w:spacing w:val="0"/>
          <w:w w:val="100"/>
          <w:sz w:val="20"/>
          <w:highlight w:val="none"/>
          <w:u w:val="none" w:color="auto"/>
          <w14:textFill>
            <w14:solidFill>
              <w14:schemeClr w14:val="tx1"/>
            </w14:solidFill>
          </w14:textFill>
        </w:rPr>
        <w:fldChar w:fldCharType="end"/>
      </w:r>
      <w:r>
        <w:rPr>
          <w:rFonts w:hint="eastAsia"/>
          <w:b w:val="0"/>
          <w:i w:val="0"/>
          <w:caps w:val="0"/>
          <w:color w:val="000000" w:themeColor="text1"/>
          <w:spacing w:val="0"/>
          <w:w w:val="100"/>
          <w:sz w:val="24"/>
          <w:highlight w:val="none"/>
          <w:u w:val="none" w:color="auto"/>
          <w14:textFill>
            <w14:solidFill>
              <w14:schemeClr w14:val="tx1"/>
            </w14:solidFill>
          </w14:textFill>
        </w:rPr>
        <w:t xml:space="preserve"> </w:t>
      </w:r>
      <w:r>
        <w:rPr>
          <w:rFonts w:hint="eastAsia"/>
          <w:b w:val="0"/>
          <w:i w:val="0"/>
          <w:caps w:val="0"/>
          <w:color w:val="000000" w:themeColor="text1"/>
          <w:spacing w:val="0"/>
          <w:w w:val="100"/>
          <w:sz w:val="24"/>
          <w:highlight w:val="none"/>
          <w:u w:val="none" w:color="auto"/>
          <w:lang w:val="en-US" w:eastAsia="zh-CN"/>
          <w14:textFill>
            <w14:solidFill>
              <w14:schemeClr w14:val="tx1"/>
            </w14:solidFill>
          </w14:textFill>
        </w:rPr>
        <w:t>我市</w:t>
      </w:r>
      <w:r>
        <w:rPr>
          <w:rFonts w:hint="eastAsia"/>
          <w:b w:val="0"/>
          <w:i w:val="0"/>
          <w:caps w:val="0"/>
          <w:color w:val="000000" w:themeColor="text1"/>
          <w:spacing w:val="0"/>
          <w:w w:val="100"/>
          <w:sz w:val="24"/>
          <w:highlight w:val="none"/>
          <w:u w:val="none" w:color="auto"/>
          <w14:textFill>
            <w14:solidFill>
              <w14:schemeClr w14:val="tx1"/>
            </w14:solidFill>
          </w14:textFill>
        </w:rPr>
        <w:t>重大产业平台布局</w:t>
      </w:r>
      <w:r>
        <w:rPr>
          <w:rFonts w:hint="eastAsia"/>
          <w:b w:val="0"/>
          <w:i w:val="0"/>
          <w:caps w:val="0"/>
          <w:color w:val="000000" w:themeColor="text1"/>
          <w:spacing w:val="0"/>
          <w:w w:val="100"/>
          <w:sz w:val="24"/>
          <w:highlight w:val="none"/>
          <w:u w:val="none" w:color="auto"/>
          <w:lang w:val="en-US" w:eastAsia="zh-CN"/>
          <w14:textFill>
            <w14:solidFill>
              <w14:schemeClr w14:val="tx1"/>
            </w14:solidFill>
          </w14:textFill>
        </w:rPr>
        <w:t>示意图</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97" w:name="_Toc30591"/>
      <w:bookmarkStart w:id="98" w:name="_Toc26029"/>
      <w:bookmarkStart w:id="99" w:name="_Toc10589"/>
      <w:r>
        <w:rPr>
          <w:rFonts w:hint="eastAsia" w:ascii="黑体" w:hAnsi="黑体" w:eastAsia="黑体" w:cs="仿宋"/>
          <w:color w:val="000000" w:themeColor="text1"/>
          <w:sz w:val="32"/>
          <w:szCs w:val="32"/>
          <w:highlight w:val="none"/>
          <w14:textFill>
            <w14:solidFill>
              <w14:schemeClr w14:val="tx1"/>
            </w14:solidFill>
          </w14:textFill>
        </w:rPr>
        <w:t>第五节 大力建设质量强市</w:t>
      </w:r>
      <w:bookmarkEnd w:id="97"/>
      <w:bookmarkEnd w:id="98"/>
      <w:bookmarkEnd w:id="99"/>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 w:eastAsia="仿宋_GB2312"/>
          <w:b w:val="0"/>
          <w:i w:val="0"/>
          <w:caps w:val="0"/>
          <w:color w:val="000000" w:themeColor="text1"/>
          <w:spacing w:val="0"/>
          <w:w w:val="100"/>
          <w:sz w:val="32"/>
          <w:szCs w:val="32"/>
          <w:highlight w:val="none"/>
          <w:u w:val="none" w:color="auto"/>
          <w14:textFill>
            <w14:solidFill>
              <w14:schemeClr w14:val="tx1"/>
            </w14:solidFill>
          </w14:textFill>
        </w:rPr>
        <w:t>深入开展质量提升行动，加大品牌创建力度，培植质量发展标杆和标准建设体系，着力培育</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“陆丰制造”“陆丰标准”“陆丰品牌”，提升陆丰产品的竞争力、影响力。</w:t>
      </w:r>
    </w:p>
    <w:p>
      <w:pPr>
        <w:snapToGrid/>
        <w:spacing w:before="0" w:beforeAutospacing="0" w:after="0" w:afterAutospacing="0" w:line="600" w:lineRule="exact"/>
        <w:ind w:firstLine="643" w:firstLineChars="200"/>
        <w:jc w:val="both"/>
        <w:textAlignment w:val="baseline"/>
        <w:rPr>
          <w:rFonts w:ascii="仿宋_GB2312"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楷体" w:eastAsia="仿宋_GB2312" w:cs="仿宋"/>
          <w:b/>
          <w:bCs/>
          <w:i w:val="0"/>
          <w:caps w:val="0"/>
          <w:color w:val="000000" w:themeColor="text1"/>
          <w:spacing w:val="0"/>
          <w:w w:val="100"/>
          <w:sz w:val="32"/>
          <w:szCs w:val="32"/>
          <w:highlight w:val="none"/>
          <w:u w:val="none" w:color="auto"/>
          <w14:textFill>
            <w14:solidFill>
              <w14:schemeClr w14:val="tx1"/>
            </w14:solidFill>
          </w14:textFill>
        </w:rPr>
        <w:t>——提升产业产品质量。</w:t>
      </w:r>
      <w:r>
        <w:rPr>
          <w:rFonts w:hint="eastAsia" w:ascii="仿宋_GB2312" w:hAnsi="仿宋" w:eastAsia="仿宋_GB2312"/>
          <w:b w:val="0"/>
          <w:i w:val="0"/>
          <w:caps w:val="0"/>
          <w:color w:val="000000" w:themeColor="text1"/>
          <w:spacing w:val="0"/>
          <w:w w:val="100"/>
          <w:sz w:val="32"/>
          <w:szCs w:val="32"/>
          <w:highlight w:val="none"/>
          <w:u w:val="none" w:color="auto"/>
          <w14:textFill>
            <w14:solidFill>
              <w14:schemeClr w14:val="tx1"/>
            </w14:solidFill>
          </w14:textFill>
        </w:rPr>
        <w:t>实行“一业一策”制定质量提升方案，推进传统优势工业企业购置先进适用设备，推进工业机器人示范作用，引进自动生产线，普及现代制造模式，全面提高产品技术、工艺装备、能效环保等水平，提升优势传统产业质量。围绕新能源、海工装备、石化等重大科技专项，构建产学研用相结合的研发体系，集中力量在新能源、海工装备制造等产业突破一批关键共性技术。加快建立高标准质量管理体系，推进全产业链质量管理，开展重点行业推行产品合格率100%试点。</w:t>
      </w:r>
    </w:p>
    <w:p>
      <w:pPr>
        <w:snapToGrid/>
        <w:spacing w:before="0" w:beforeAutospacing="0" w:after="0" w:afterAutospacing="0" w:line="600" w:lineRule="exact"/>
        <w:ind w:firstLine="643" w:firstLineChars="200"/>
        <w:jc w:val="both"/>
        <w:textAlignment w:val="baseline"/>
        <w:rPr>
          <w:rFonts w:ascii="仿宋_GB2312"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楷体" w:eastAsia="仿宋_GB2312" w:cs="仿宋"/>
          <w:b/>
          <w:bCs/>
          <w:i w:val="0"/>
          <w:caps w:val="0"/>
          <w:color w:val="000000" w:themeColor="text1"/>
          <w:spacing w:val="0"/>
          <w:w w:val="100"/>
          <w:sz w:val="32"/>
          <w:szCs w:val="32"/>
          <w:highlight w:val="none"/>
          <w:u w:val="none" w:color="auto"/>
          <w14:textFill>
            <w14:solidFill>
              <w14:schemeClr w14:val="tx1"/>
            </w14:solidFill>
          </w14:textFill>
        </w:rPr>
        <w:t>——打造陆丰质量品牌。</w:t>
      </w:r>
      <w:r>
        <w:rPr>
          <w:rFonts w:hint="eastAsia" w:ascii="仿宋_GB2312" w:hAnsi="仿宋" w:eastAsia="仿宋_GB2312"/>
          <w:b w:val="0"/>
          <w:i w:val="0"/>
          <w:caps w:val="0"/>
          <w:color w:val="000000" w:themeColor="text1"/>
          <w:spacing w:val="0"/>
          <w:w w:val="100"/>
          <w:sz w:val="32"/>
          <w:szCs w:val="32"/>
          <w:highlight w:val="none"/>
          <w:u w:val="none" w:color="auto"/>
          <w14:textFill>
            <w14:solidFill>
              <w14:schemeClr w14:val="tx1"/>
            </w14:solidFill>
          </w14:textFill>
        </w:rPr>
        <w:t>加强城市品牌、企业品牌和产品品牌建设，推动“陆丰产品”向“陆丰品牌”、“陆丰质量”转变。全力打造区域品牌，提升陆丰各产业的品牌影响力。鼓励企业通过增资扩产、相互参股、联合、并购等方式扩大规模，创建一批名牌产品和驰名商标。鼓励有条件的企业开展商标国际注册，推动自主品牌“走出去”，</w:t>
      </w:r>
      <w:r>
        <w:rPr>
          <w:rFonts w:hint="eastAsia" w:ascii="仿宋_GB2312"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提高</w:t>
      </w:r>
      <w:r>
        <w:rPr>
          <w:rFonts w:hint="eastAsia" w:ascii="仿宋_GB2312" w:hAnsi="仿宋" w:eastAsia="仿宋_GB2312"/>
          <w:b w:val="0"/>
          <w:i w:val="0"/>
          <w:caps w:val="0"/>
          <w:color w:val="000000" w:themeColor="text1"/>
          <w:spacing w:val="0"/>
          <w:w w:val="100"/>
          <w:sz w:val="32"/>
          <w:szCs w:val="32"/>
          <w:highlight w:val="none"/>
          <w:u w:val="none" w:color="auto"/>
          <w14:textFill>
            <w14:solidFill>
              <w14:schemeClr w14:val="tx1"/>
            </w14:solidFill>
          </w14:textFill>
        </w:rPr>
        <w:t>陆丰本地品牌的影响力。加强农产品品牌建设，鼓励注册地理标志证明商标或集体商标，以陆丰农业龙头企业为重点，培育全省乃至全国有较高知名度的农产品品牌。</w:t>
      </w:r>
    </w:p>
    <w:p>
      <w:pPr>
        <w:snapToGrid/>
        <w:spacing w:before="0" w:beforeAutospacing="0" w:after="0" w:afterAutospacing="0" w:line="600" w:lineRule="exact"/>
        <w:ind w:firstLine="643" w:firstLineChars="200"/>
        <w:jc w:val="both"/>
        <w:textAlignment w:val="baseline"/>
        <w:rPr>
          <w:rFonts w:ascii="仿宋" w:hAnsi="仿宋" w:eastAsia="仿宋"/>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楷体" w:eastAsia="仿宋_GB2312" w:cs="仿宋"/>
          <w:b/>
          <w:bCs/>
          <w:i w:val="0"/>
          <w:caps w:val="0"/>
          <w:color w:val="000000" w:themeColor="text1"/>
          <w:spacing w:val="0"/>
          <w:w w:val="100"/>
          <w:sz w:val="32"/>
          <w:szCs w:val="32"/>
          <w:highlight w:val="none"/>
          <w:u w:val="none" w:color="auto"/>
          <w14:textFill>
            <w14:solidFill>
              <w14:schemeClr w14:val="tx1"/>
            </w14:solidFill>
          </w14:textFill>
        </w:rPr>
        <w:t>——建立健全质量标准体系。</w:t>
      </w:r>
      <w:r>
        <w:rPr>
          <w:rFonts w:hint="eastAsia" w:ascii="仿宋_GB2312" w:hAnsi="仿宋" w:eastAsia="仿宋_GB2312"/>
          <w:b w:val="0"/>
          <w:i w:val="0"/>
          <w:caps w:val="0"/>
          <w:color w:val="000000" w:themeColor="text1"/>
          <w:spacing w:val="0"/>
          <w:w w:val="100"/>
          <w:sz w:val="32"/>
          <w:szCs w:val="32"/>
          <w:highlight w:val="none"/>
          <w:u w:val="none" w:color="auto"/>
          <w14:textFill>
            <w14:solidFill>
              <w14:schemeClr w14:val="tx1"/>
            </w14:solidFill>
          </w14:textFill>
        </w:rPr>
        <w:t>完善质量基础设施体系，加强标准、计量、专利体系和能力建设。推动与各级各类标准化组织、标准化机构的标准信息资源交换合作。积极实施重点领域重大装备技术和产品质量攻关项目，加快五金、珠宝首饰、新能源、海工装备制造等产业的标准研制，构建覆盖各产业主要产品并与</w:t>
      </w:r>
      <w:r>
        <w:rPr>
          <w:rFonts w:hint="eastAsia" w:ascii="仿宋_GB2312"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大湾区</w:t>
      </w:r>
      <w:r>
        <w:rPr>
          <w:rFonts w:hint="eastAsia" w:ascii="仿宋_GB2312" w:hAnsi="仿宋" w:eastAsia="仿宋_GB2312"/>
          <w:b w:val="0"/>
          <w:i w:val="0"/>
          <w:caps w:val="0"/>
          <w:color w:val="000000" w:themeColor="text1"/>
          <w:spacing w:val="0"/>
          <w:w w:val="100"/>
          <w:sz w:val="32"/>
          <w:szCs w:val="32"/>
          <w:highlight w:val="none"/>
          <w:u w:val="none" w:color="auto"/>
          <w14:textFill>
            <w14:solidFill>
              <w14:schemeClr w14:val="tx1"/>
            </w14:solidFill>
          </w14:textFill>
        </w:rPr>
        <w:t>接轨的先进标准体系。</w:t>
      </w: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pPr>
      <w:bookmarkStart w:id="100" w:name="_Toc30876"/>
      <w:bookmarkStart w:id="101" w:name="_Toc7817"/>
      <w:bookmarkStart w:id="102" w:name="_Toc14150"/>
      <w:bookmarkStart w:id="103" w:name="_Toc30873"/>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第六章 </w:t>
      </w:r>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完善基础设施</w:t>
      </w:r>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建设</w:t>
      </w:r>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w:t>
      </w:r>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强力支撑双</w:t>
      </w:r>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循环发展新格局</w:t>
      </w:r>
      <w:bookmarkEnd w:id="100"/>
      <w:bookmarkEnd w:id="101"/>
      <w:bookmarkEnd w:id="102"/>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以建成区域综合交通枢纽为目标，推动“五纵五横”交通网络建设，构建现代化综合交通运输体系。</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推进5G网络等新型基础设施建设，力争将陆丰市新型基础设施发展水平进入粤东西北县级市先进行列。强化</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能源、水利等重大基础设施建设，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增强陆丰的</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社会经济循环发展</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保障能力。</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04" w:name="_Toc22617"/>
      <w:bookmarkStart w:id="105" w:name="_Toc2563"/>
      <w:bookmarkStart w:id="106" w:name="_Toc10131"/>
      <w:r>
        <w:rPr>
          <w:rFonts w:hint="eastAsia" w:ascii="黑体" w:hAnsi="黑体" w:eastAsia="黑体" w:cs="仿宋"/>
          <w:color w:val="000000" w:themeColor="text1"/>
          <w:sz w:val="32"/>
          <w:szCs w:val="32"/>
          <w:highlight w:val="none"/>
          <w14:textFill>
            <w14:solidFill>
              <w14:schemeClr w14:val="tx1"/>
            </w14:solidFill>
          </w14:textFill>
        </w:rPr>
        <w:t>第一节 全力构建顺畅高效的流通体系</w:t>
      </w:r>
      <w:bookmarkEnd w:id="104"/>
      <w:bookmarkEnd w:id="105"/>
      <w:bookmarkEnd w:id="106"/>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以陆丰建成区域综合交通枢纽城市为目标，围绕“大通道”“大港航”“大物流”三大目标，推动交通网络建设，构建融湾拓海、立体多元、方便快捷的现代化综合交通运输体系。以高品质的交通服务体系，助力陆丰全面接轨深圳、全力融入“双区”建设。</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——进一步完善轨道交通网。</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依托厦深铁路、汕汕高铁，打造区域铁路枢纽，增强陆丰对外连通度，加快汕汕高铁及陆丰东站、陆丰南站建设，积极谋划推动湖东港疏港铁路前期工作。积极落实粤港澳大湾区相关交通规划，用好海陆丰革命老区关于对境内省管高速公路、国铁干线项目资本金由省级全额承担的利好政策，以铁路、高速公路、国省道和港口建设为重点，推进连接珠三角路网及市域交通网络建设。</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——加快建设干线公路网体系。</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打造智慧立体、方便快捷的现代综合交通体系，缩短与湾区城市尤其是与广、深、港、澳等核心城市的通勤时间，全方位构建与大湾区核心城市l小时经济圈，建设大湾区后花园。建设国、省道干线网，推动市区至汕尾市区快速通道建设，推动接入“三甲”地区高速公路建设。加快完善市域通道，推进沈海高速公路陆丰段改扩建项目、珠（三角）（粤）东沿海快速通道陆丰段新建工程、</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广东滨海旅游公路、</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省道510线河西至西南、国道228线甲子至南塘段、</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国道228线河西至星都段、</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螺河东路、东海、碣石和甲子市政道路等交通基础设施建设。推进市政道路升级改造，升级一批镇区改造工程，加快“四好农村路”建设,提升中心城区对内对外通达能力。优化公交服务和运行线路，改善城区公共交通条件。</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jc w:val="center"/>
              <w:textAlignment w:val="baseline"/>
              <w:rPr>
                <w:rFonts w:cs="仿宋_GB2312"/>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专栏6-1 陆丰市公路体系建设重点工程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1.高速公路建设工程：</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14:textFill>
                  <w14:solidFill>
                    <w14:schemeClr w14:val="tx1"/>
                  </w14:solidFill>
                </w14:textFill>
              </w:rPr>
              <w:t>加快推进深汕西高速公路扩建工程建设，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重点推动全长约15</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公里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的揭惠高速南延线建设工程建设。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2.国道建设工程：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推进国道228线甲子至南塘段、国道228线河西至星都段、国道324线内湖至城东段</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广东滨海旅游公路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等一批国道升级改造项目。</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3.省道建设工程：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推进省道240线陆丰穿城段、省道510线陆丰市河西至西南段、省道S510陆丰上英至海丰城东段</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珠东快速通道陆丰段</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省道238线八万至博美段</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等一批省道建设工程。</w:t>
            </w:r>
          </w:p>
          <w:p>
            <w:pPr>
              <w:snapToGrid/>
              <w:spacing w:before="0" w:beforeAutospacing="0" w:after="0" w:afterAutospacing="0" w:line="400" w:lineRule="exact"/>
              <w:ind w:firstLine="562" w:firstLineChars="200"/>
              <w:jc w:val="both"/>
              <w:textAlignment w:val="baseline"/>
              <w:rPr>
                <w:rFonts w:cs="仿宋_GB2312"/>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4.“四好农村路”工程：</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14:textFill>
                  <w14:solidFill>
                    <w14:schemeClr w14:val="tx1"/>
                  </w14:solidFill>
                </w14:textFill>
              </w:rPr>
              <w:t>重点推动</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14:textFill>
                  <w14:solidFill>
                    <w14:schemeClr w14:val="tx1"/>
                  </w14:solidFill>
                </w14:textFill>
              </w:rPr>
              <w:t>农村公路路面改造、窄路面拓宽，</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14:textFill>
                  <w14:solidFill>
                    <w14:schemeClr w14:val="tx1"/>
                  </w14:solidFill>
                </w14:textFill>
              </w:rPr>
              <w:t>螺河东路、东海、碣石和甲子市政道路等交通基础设施建设</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14:textFill>
                  <w14:solidFill>
                    <w14:schemeClr w14:val="tx1"/>
                  </w14:solidFill>
                </w14:textFill>
              </w:rPr>
              <w:t>推进</w:t>
            </w:r>
            <w:r>
              <w:rPr>
                <w:rFonts w:hint="eastAsia" w:asciiTheme="minorEastAsia" w:hAnsiTheme="minorEastAsia" w:eastAsiaTheme="minorEastAsia" w:cstheme="minorEastAsia"/>
                <w:color w:val="000000" w:themeColor="text1"/>
                <w:kern w:val="0"/>
                <w:sz w:val="28"/>
                <w:szCs w:val="28"/>
                <w:highlight w:val="none"/>
                <w:lang w:val="en-US" w:eastAsia="zh-CN"/>
                <w14:textFill>
                  <w14:solidFill>
                    <w14:schemeClr w14:val="tx1"/>
                  </w14:solidFill>
                </w14:textFill>
              </w:rPr>
              <w:t>城东经桥冲至南塘、县道133线博美至碣石段、铜锣湖至南塘段、河东后坎至甘坑段、潭西上埔至上英联海、金厢竹桥经桥冲至甲西段、国道324线麻竹坑至陂洋段、省道240线大安新埔至省道510线西南白沙堆连接线、河西湖田至米坑段、金碣路至金厢山门段、潭西上埔至崎头段等县道升级改造、汕汕高铁陆丰东站和陆丰南站进站道路建设。推动对路面破损严重“四好农村路”进行改造、窄路面进行拓宽改造，结合乡村振兴发展，继续对砂土路进行改造</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w:t>
            </w:r>
          </w:p>
        </w:tc>
      </w:tr>
    </w:tbl>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——加快港航建设。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进陆港海联动发展，建设湖东深水港等一批深水泊位码头及航道，谋划推进陆丰市港区湖东作业区港口疏港铁路项目落地，构筑“融湾”大交通网络。推动形成陆海统筹、港口产业联动发展格局。加速推进陆丰湖东及甲东港区码头规划建设，推动与“双区”核心港口群对接；谋划打通我市与“双区”联络的水路通道。</w:t>
      </w:r>
    </w:p>
    <w:p>
      <w:pPr>
        <w:pStyle w:val="10"/>
        <w:snapToGrid/>
        <w:spacing w:before="0" w:beforeAutospacing="0" w:after="120" w:afterAutospacing="0" w:line="240" w:lineRule="auto"/>
        <w:jc w:val="center"/>
        <w:textAlignment w:val="baseline"/>
        <w:rPr>
          <w:rFonts w:ascii="Times New Roman" w:hAnsi="Times New Roman" w:eastAsia="宋体" w:cs="Times New Roman"/>
          <w:b w:val="0"/>
          <w:i w:val="0"/>
          <w:caps w:val="0"/>
          <w:color w:val="000000" w:themeColor="text1"/>
          <w:spacing w:val="0"/>
          <w:w w:val="100"/>
          <w:sz w:val="21"/>
          <w:highlight w:val="none"/>
          <w:u w:val="none" w:color="auto"/>
          <w14:textFill>
            <w14:solidFill>
              <w14:schemeClr w14:val="tx1"/>
            </w14:solidFill>
          </w14:textFill>
        </w:rPr>
      </w:pPr>
      <w:r>
        <w:rPr>
          <w:rFonts w:hint="eastAsia"/>
          <w:b w:val="0"/>
          <w:i w:val="0"/>
          <w:caps w:val="0"/>
          <w:color w:val="000000" w:themeColor="text1"/>
          <w:spacing w:val="0"/>
          <w:w w:val="100"/>
          <w:sz w:val="21"/>
          <w:highlight w:val="none"/>
          <w:u w:val="none" w:color="auto"/>
          <w14:textFill>
            <w14:solidFill>
              <w14:schemeClr w14:val="tx1"/>
            </w14:solidFill>
          </w14:textFill>
        </w:rPr>
        <w:drawing>
          <wp:inline distT="0" distB="0" distL="114300" distR="114300">
            <wp:extent cx="4537075" cy="3522345"/>
            <wp:effectExtent l="0" t="0" r="4445" b="13335"/>
            <wp:docPr id="5" name="图片 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2"/>
                    <pic:cNvPicPr>
                      <a:picLocks noChangeAspect="1"/>
                    </pic:cNvPicPr>
                  </pic:nvPicPr>
                  <pic:blipFill>
                    <a:blip r:embed="rId12"/>
                    <a:stretch>
                      <a:fillRect/>
                    </a:stretch>
                  </pic:blipFill>
                  <pic:spPr>
                    <a:xfrm>
                      <a:off x="0" y="0"/>
                      <a:ext cx="4537075" cy="3522345"/>
                    </a:xfrm>
                    <a:prstGeom prst="rect">
                      <a:avLst/>
                    </a:prstGeom>
                  </pic:spPr>
                </pic:pic>
              </a:graphicData>
            </a:graphic>
          </wp:inline>
        </w:drawing>
      </w:r>
    </w:p>
    <w:p>
      <w:pPr>
        <w:pStyle w:val="7"/>
        <w:snapToGrid/>
        <w:spacing w:line="240" w:lineRule="auto"/>
        <w:jc w:val="center"/>
        <w:textAlignment w:val="baseline"/>
        <w:rPr>
          <w:rFonts w:hint="eastAsia" w:ascii="黑体" w:hAnsi="黑体" w:eastAsia="黑体" w:cs="仿宋"/>
          <w:color w:val="000000" w:themeColor="text1"/>
          <w:sz w:val="32"/>
          <w:szCs w:val="32"/>
          <w:highlight w:val="none"/>
          <w14:textFill>
            <w14:solidFill>
              <w14:schemeClr w14:val="tx1"/>
            </w14:solidFill>
          </w14:textFill>
        </w:rPr>
      </w:pPr>
      <w:r>
        <w:rPr>
          <w:rFonts w:ascii="Arial" w:hAnsi="Arial" w:eastAsia="黑体"/>
          <w:b w:val="0"/>
          <w:i w:val="0"/>
          <w:caps w:val="0"/>
          <w:color w:val="000000" w:themeColor="text1"/>
          <w:spacing w:val="0"/>
          <w:w w:val="100"/>
          <w:sz w:val="24"/>
          <w:szCs w:val="24"/>
          <w:highlight w:val="none"/>
          <w:u w:val="none" w:color="auto"/>
          <w14:textFill>
            <w14:solidFill>
              <w14:schemeClr w14:val="tx1"/>
            </w14:solidFill>
          </w14:textFill>
        </w:rPr>
        <w:t>图</w:t>
      </w:r>
      <w:r>
        <w:rPr>
          <w:rFonts w:hint="eastAsia"/>
          <w:b w:val="0"/>
          <w:i w:val="0"/>
          <w:caps w:val="0"/>
          <w:color w:val="000000" w:themeColor="text1"/>
          <w:spacing w:val="0"/>
          <w:w w:val="100"/>
          <w:sz w:val="24"/>
          <w:szCs w:val="24"/>
          <w:highlight w:val="none"/>
          <w:u w:val="none" w:color="auto"/>
          <w14:textFill>
            <w14:solidFill>
              <w14:schemeClr w14:val="tx1"/>
            </w14:solidFill>
          </w14:textFill>
        </w:rPr>
        <w:t>6</w:t>
      </w:r>
      <w:r>
        <w:rPr>
          <w:rFonts w:ascii="Arial" w:hAnsi="Arial" w:eastAsia="黑体"/>
          <w:b w:val="0"/>
          <w:i w:val="0"/>
          <w:caps w:val="0"/>
          <w:color w:val="000000" w:themeColor="text1"/>
          <w:spacing w:val="0"/>
          <w:w w:val="100"/>
          <w:sz w:val="24"/>
          <w:szCs w:val="24"/>
          <w:highlight w:val="none"/>
          <w:u w:val="none" w:color="auto"/>
          <w14:textFill>
            <w14:solidFill>
              <w14:schemeClr w14:val="tx1"/>
            </w14:solidFill>
          </w14:textFill>
        </w:rPr>
        <w:t>-</w:t>
      </w:r>
      <w:r>
        <w:rPr>
          <w:b w:val="0"/>
          <w:i w:val="0"/>
          <w:caps w:val="0"/>
          <w:color w:val="000000" w:themeColor="text1"/>
          <w:spacing w:val="0"/>
          <w:w w:val="100"/>
          <w:sz w:val="24"/>
          <w:szCs w:val="24"/>
          <w:highlight w:val="none"/>
          <w:u w:val="none" w:color="auto"/>
          <w14:textFill>
            <w14:solidFill>
              <w14:schemeClr w14:val="tx1"/>
            </w14:solidFill>
          </w14:textFill>
        </w:rPr>
        <w:fldChar w:fldCharType="begin"/>
      </w:r>
      <w:r>
        <w:rPr>
          <w:b w:val="0"/>
          <w:i w:val="0"/>
          <w:caps w:val="0"/>
          <w:color w:val="000000" w:themeColor="text1"/>
          <w:spacing w:val="0"/>
          <w:w w:val="100"/>
          <w:sz w:val="24"/>
          <w:szCs w:val="24"/>
          <w:highlight w:val="none"/>
          <w:u w:val="none" w:color="auto"/>
          <w14:textFill>
            <w14:solidFill>
              <w14:schemeClr w14:val="tx1"/>
            </w14:solidFill>
          </w14:textFill>
        </w:rPr>
        <w:instrText xml:space="preserve"> SEQ 图8- \* ARABIC </w:instrText>
      </w:r>
      <w:r>
        <w:rPr>
          <w:b w:val="0"/>
          <w:i w:val="0"/>
          <w:caps w:val="0"/>
          <w:color w:val="000000" w:themeColor="text1"/>
          <w:spacing w:val="0"/>
          <w:w w:val="100"/>
          <w:sz w:val="24"/>
          <w:szCs w:val="24"/>
          <w:highlight w:val="none"/>
          <w:u w:val="none" w:color="auto"/>
          <w14:textFill>
            <w14:solidFill>
              <w14:schemeClr w14:val="tx1"/>
            </w14:solidFill>
          </w14:textFill>
        </w:rPr>
        <w:fldChar w:fldCharType="separate"/>
      </w:r>
      <w:r>
        <w:rPr>
          <w:rFonts w:ascii="Arial" w:hAnsi="Arial" w:eastAsia="黑体"/>
          <w:b w:val="0"/>
          <w:i w:val="0"/>
          <w:caps w:val="0"/>
          <w:color w:val="000000" w:themeColor="text1"/>
          <w:spacing w:val="0"/>
          <w:w w:val="100"/>
          <w:sz w:val="24"/>
          <w:szCs w:val="24"/>
          <w:highlight w:val="none"/>
          <w:u w:val="none" w:color="auto"/>
          <w14:textFill>
            <w14:solidFill>
              <w14:schemeClr w14:val="tx1"/>
            </w14:solidFill>
          </w14:textFill>
        </w:rPr>
        <w:t>1</w:t>
      </w:r>
      <w:r>
        <w:rPr>
          <w:b w:val="0"/>
          <w:i w:val="0"/>
          <w:caps w:val="0"/>
          <w:color w:val="000000" w:themeColor="text1"/>
          <w:spacing w:val="0"/>
          <w:w w:val="100"/>
          <w:sz w:val="24"/>
          <w:szCs w:val="24"/>
          <w:highlight w:val="none"/>
          <w:u w:val="none" w:color="auto"/>
          <w14:textFill>
            <w14:solidFill>
              <w14:schemeClr w14:val="tx1"/>
            </w14:solidFill>
          </w14:textFill>
        </w:rPr>
        <w:fldChar w:fldCharType="end"/>
      </w:r>
      <w:r>
        <w:rPr>
          <w:rFonts w:hint="eastAsia"/>
          <w:b w:val="0"/>
          <w:i w:val="0"/>
          <w:caps w:val="0"/>
          <w:color w:val="000000" w:themeColor="text1"/>
          <w:spacing w:val="0"/>
          <w:w w:val="100"/>
          <w:sz w:val="24"/>
          <w:szCs w:val="24"/>
          <w:highlight w:val="none"/>
          <w:u w:val="none" w:color="auto"/>
          <w14:textFill>
            <w14:solidFill>
              <w14:schemeClr w14:val="tx1"/>
            </w14:solidFill>
          </w14:textFill>
        </w:rPr>
        <w:t xml:space="preserve"> </w:t>
      </w:r>
      <w:r>
        <w:rPr>
          <w:rFonts w:hint="eastAsia"/>
          <w:b w:val="0"/>
          <w:i w:val="0"/>
          <w:caps w:val="0"/>
          <w:color w:val="000000" w:themeColor="text1"/>
          <w:spacing w:val="0"/>
          <w:w w:val="100"/>
          <w:sz w:val="24"/>
          <w:szCs w:val="24"/>
          <w:highlight w:val="none"/>
          <w:u w:val="none" w:color="auto"/>
          <w:lang w:val="en-US" w:eastAsia="zh-CN"/>
          <w14:textFill>
            <w14:solidFill>
              <w14:schemeClr w14:val="tx1"/>
            </w14:solidFill>
          </w14:textFill>
        </w:rPr>
        <w:t>推动</w:t>
      </w:r>
      <w:r>
        <w:rPr>
          <w:rFonts w:hint="eastAsia"/>
          <w:b w:val="0"/>
          <w:i w:val="0"/>
          <w:caps w:val="0"/>
          <w:color w:val="000000" w:themeColor="text1"/>
          <w:spacing w:val="0"/>
          <w:w w:val="100"/>
          <w:sz w:val="24"/>
          <w:szCs w:val="24"/>
          <w:highlight w:val="none"/>
          <w:u w:val="none" w:color="auto"/>
          <w14:textFill>
            <w14:solidFill>
              <w14:schemeClr w14:val="tx1"/>
            </w14:solidFill>
          </w14:textFill>
        </w:rPr>
        <w:t>三甲地区港口</w:t>
      </w:r>
      <w:r>
        <w:rPr>
          <w:rFonts w:hint="eastAsia"/>
          <w:b w:val="0"/>
          <w:i w:val="0"/>
          <w:caps w:val="0"/>
          <w:color w:val="000000" w:themeColor="text1"/>
          <w:spacing w:val="0"/>
          <w:w w:val="100"/>
          <w:sz w:val="24"/>
          <w:szCs w:val="24"/>
          <w:highlight w:val="none"/>
          <w:u w:val="none" w:color="auto"/>
          <w:lang w:val="en-US" w:eastAsia="zh-CN"/>
          <w14:textFill>
            <w14:solidFill>
              <w14:schemeClr w14:val="tx1"/>
            </w14:solidFill>
          </w14:textFill>
        </w:rPr>
        <w:t>建设</w:t>
      </w:r>
      <w:r>
        <w:rPr>
          <w:rFonts w:hint="eastAsia"/>
          <w:b w:val="0"/>
          <w:i w:val="0"/>
          <w:caps w:val="0"/>
          <w:color w:val="000000" w:themeColor="text1"/>
          <w:spacing w:val="0"/>
          <w:w w:val="100"/>
          <w:sz w:val="24"/>
          <w:szCs w:val="24"/>
          <w:highlight w:val="none"/>
          <w:u w:val="none" w:color="auto"/>
          <w14:textFill>
            <w14:solidFill>
              <w14:schemeClr w14:val="tx1"/>
            </w14:solidFill>
          </w14:textFill>
        </w:rPr>
        <w:t>，</w:t>
      </w:r>
      <w:r>
        <w:rPr>
          <w:rFonts w:hint="eastAsia"/>
          <w:b w:val="0"/>
          <w:i w:val="0"/>
          <w:caps w:val="0"/>
          <w:color w:val="000000" w:themeColor="text1"/>
          <w:spacing w:val="0"/>
          <w:w w:val="100"/>
          <w:sz w:val="24"/>
          <w:szCs w:val="24"/>
          <w:highlight w:val="none"/>
          <w:u w:val="none" w:color="auto"/>
          <w:lang w:val="en-US" w:eastAsia="zh-CN"/>
          <w14:textFill>
            <w14:solidFill>
              <w14:schemeClr w14:val="tx1"/>
            </w14:solidFill>
          </w14:textFill>
        </w:rPr>
        <w:t>推动</w:t>
      </w:r>
      <w:r>
        <w:rPr>
          <w:rFonts w:hint="eastAsia"/>
          <w:b w:val="0"/>
          <w:i w:val="0"/>
          <w:caps w:val="0"/>
          <w:color w:val="000000" w:themeColor="text1"/>
          <w:spacing w:val="0"/>
          <w:w w:val="100"/>
          <w:sz w:val="24"/>
          <w:szCs w:val="24"/>
          <w:highlight w:val="none"/>
          <w:u w:val="none" w:color="auto"/>
          <w14:textFill>
            <w14:solidFill>
              <w14:schemeClr w14:val="tx1"/>
            </w14:solidFill>
          </w14:textFill>
        </w:rPr>
        <w:t>湖东与甲子岸线港产联合发展</w:t>
      </w:r>
      <w:bookmarkStart w:id="107" w:name="_Toc19536"/>
      <w:bookmarkStart w:id="108" w:name="_Toc30605"/>
      <w:bookmarkStart w:id="109" w:name="_Toc1674"/>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10" w:name="_Toc14666"/>
      <w:r>
        <w:rPr>
          <w:rFonts w:hint="eastAsia" w:ascii="黑体" w:hAnsi="黑体" w:eastAsia="黑体" w:cs="仿宋"/>
          <w:color w:val="000000" w:themeColor="text1"/>
          <w:sz w:val="32"/>
          <w:szCs w:val="32"/>
          <w:highlight w:val="none"/>
          <w14:textFill>
            <w14:solidFill>
              <w14:schemeClr w14:val="tx1"/>
            </w14:solidFill>
          </w14:textFill>
        </w:rPr>
        <w:t xml:space="preserve">第二节 </w:t>
      </w:r>
      <w:bookmarkEnd w:id="107"/>
      <w:bookmarkEnd w:id="108"/>
      <w:bookmarkEnd w:id="109"/>
      <w:bookmarkStart w:id="111" w:name="_Toc32634"/>
      <w:bookmarkStart w:id="112" w:name="_Toc29260"/>
      <w:r>
        <w:rPr>
          <w:rFonts w:hint="eastAsia" w:ascii="黑体" w:hAnsi="黑体" w:eastAsia="黑体" w:cs="仿宋"/>
          <w:color w:val="000000" w:themeColor="text1"/>
          <w:sz w:val="32"/>
          <w:szCs w:val="32"/>
          <w:highlight w:val="none"/>
          <w14:textFill>
            <w14:solidFill>
              <w14:schemeClr w14:val="tx1"/>
            </w14:solidFill>
          </w14:textFill>
        </w:rPr>
        <w:t>加快新型基础设施建设</w:t>
      </w:r>
      <w:bookmarkEnd w:id="110"/>
      <w:bookmarkEnd w:id="111"/>
      <w:bookmarkEnd w:id="112"/>
    </w:p>
    <w:p>
      <w:pPr>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推进5G网络等新型基础设施建设，提高信息化水平。以建设网络强市为目标，发挥电信和广播电视运营商的主体作用，强化各部门和各镇街的统筹协调作用，加大建设投入，加强政策扶持，力争用5年左右时间，</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推动</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陆丰市新型基础设施建设发展水平进入粤东西北县级市先进行列。</w:t>
      </w:r>
    </w:p>
    <w:p>
      <w:pPr>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——推动5G基站全覆盖。</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按照从城区到各镇（园）、主要部门到全行业的次序，推动5G基础基站及相应配套设施有序建设。先期实现主要党政部门、东海镇、碣石镇、甲子镇等镇的5G基站建设，争取在“十四五”时期内，实现陆丰5G基站全域覆盖。进一步提升“互联网+城市管理”的治理水平，夯实陆丰制造业的智能化基础。</w:t>
      </w:r>
    </w:p>
    <w:p>
      <w:pPr>
        <w:pStyle w:val="10"/>
        <w:snapToGrid/>
        <w:spacing w:before="0" w:beforeAutospacing="0" w:after="120" w:afterAutospacing="0" w:line="240" w:lineRule="auto"/>
        <w:ind w:firstLine="643" w:firstLineChars="200"/>
        <w:jc w:val="both"/>
        <w:textAlignment w:val="baseline"/>
        <w:rPr>
          <w:rFonts w:hint="eastAsia"/>
          <w:b w:val="0"/>
          <w:i w:val="0"/>
          <w:caps w:val="0"/>
          <w:color w:val="000000" w:themeColor="text1"/>
          <w:spacing w:val="0"/>
          <w:w w:val="100"/>
          <w:sz w:val="21"/>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——建设大数据中心。</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全力支持汕尾市参与省数据中心“双核九中心”布局建设，充分发挥陆丰电力能源和土地资源优势，依托革命老区政策红利，发展大数据产业，培育大数据应用场景，促进产业链联动。重点引入三大运营商，京东、华为、百度等龙头企业，加快打造陆丰数字枢纽，深化大数据在社会治理与公共服务、金融、能源、交通、商贸、工业制造等领域协同创新，促进各行业智能化发展。提升大数据安全水平，强化对算力和数据资源的安全防护。</w:t>
      </w:r>
      <w:r>
        <w:rPr>
          <w:rFonts w:hint="eastAsia"/>
          <w:b w:val="0"/>
          <w:i w:val="0"/>
          <w:caps w:val="0"/>
          <w:color w:val="000000" w:themeColor="text1"/>
          <w:spacing w:val="0"/>
          <w:w w:val="100"/>
          <w:sz w:val="21"/>
          <w:highlight w:val="none"/>
          <w:u w:val="none" w:color="auto"/>
          <w14:textFill>
            <w14:solidFill>
              <w14:schemeClr w14:val="tx1"/>
            </w14:solidFill>
          </w14:textFill>
        </w:rPr>
        <w:t xml:space="preserve"> </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80" w:lineRule="auto"/>
              <w:ind w:left="0" w:leftChars="0"/>
              <w:jc w:val="center"/>
              <w:textAlignment w:val="baseline"/>
              <w:rPr>
                <w:rFonts w:hint="eastAsia"/>
                <w:b w:val="0"/>
                <w:i w:val="0"/>
                <w:caps w:val="0"/>
                <w:color w:val="000000" w:themeColor="text1"/>
                <w:spacing w:val="0"/>
                <w:w w:val="100"/>
                <w:sz w:val="30"/>
                <w:szCs w:val="30"/>
                <w:highlight w:val="none"/>
                <w:u w:val="none" w:color="auto"/>
                <w:lang w:val="en-US" w:eastAsia="zh-CN"/>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专栏6-2 新型基础设施建设布局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1.5G新基建：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加快5G产业园区建设，推动陆丰与汕尾、海丰、陆河等地5G融合应用，推动5G产业合理布局协同发展</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实现全市5G网络</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全</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覆盖。</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2.工业互联网：</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带动碣石互联网+智慧渔业科创园、广东新能源重点实验室、陆丰农产品电商冷链物流基地等5G+工业互联网应用，打造省级工业互联网标杆示范。推动食品行业申报省级优势产业集群数字化转型试点，打造陆丰市食品产业集群云平台。</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3.大数据中心：</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锁定互联网龙头企业，加快5G和大数据产业链招商。鼓励支持本土电子信息制造业企业布局5G产业配套产品业务，加快形成产品自主供应能力和产业溢出能力，构建和完善产业生态。</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13" w:name="_Toc5935"/>
      <w:bookmarkStart w:id="114" w:name="_Toc23542"/>
      <w:bookmarkStart w:id="115" w:name="_Toc4878"/>
      <w:r>
        <w:rPr>
          <w:rFonts w:hint="eastAsia" w:ascii="黑体" w:hAnsi="黑体" w:eastAsia="黑体" w:cs="仿宋"/>
          <w:color w:val="000000" w:themeColor="text1"/>
          <w:sz w:val="32"/>
          <w:szCs w:val="32"/>
          <w:highlight w:val="none"/>
          <w14:textFill>
            <w14:solidFill>
              <w14:schemeClr w14:val="tx1"/>
            </w14:solidFill>
          </w14:textFill>
        </w:rPr>
        <w:t>第</w:t>
      </w:r>
      <w:r>
        <w:rPr>
          <w:rFonts w:hint="eastAsia" w:ascii="黑体" w:hAnsi="黑体" w:eastAsia="黑体" w:cs="仿宋"/>
          <w:color w:val="000000" w:themeColor="text1"/>
          <w:sz w:val="32"/>
          <w:szCs w:val="32"/>
          <w:highlight w:val="none"/>
          <w:lang w:val="en-US" w:eastAsia="zh-CN"/>
          <w14:textFill>
            <w14:solidFill>
              <w14:schemeClr w14:val="tx1"/>
            </w14:solidFill>
          </w14:textFill>
        </w:rPr>
        <w:t>三</w:t>
      </w:r>
      <w:r>
        <w:rPr>
          <w:rFonts w:hint="eastAsia" w:ascii="黑体" w:hAnsi="黑体" w:eastAsia="黑体" w:cs="仿宋"/>
          <w:color w:val="000000" w:themeColor="text1"/>
          <w:sz w:val="32"/>
          <w:szCs w:val="32"/>
          <w:highlight w:val="none"/>
          <w14:textFill>
            <w14:solidFill>
              <w14:schemeClr w14:val="tx1"/>
            </w14:solidFill>
          </w14:textFill>
        </w:rPr>
        <w:t>节 完善水利基础设施建设</w:t>
      </w:r>
      <w:bookmarkEnd w:id="113"/>
      <w:bookmarkEnd w:id="114"/>
      <w:bookmarkEnd w:id="115"/>
    </w:p>
    <w:p>
      <w:pPr>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加强水利基础设施建设，完善水利防灾减灾体系，提升水安全保障能力。加强中小河流和小流域洪水治理，加快合理高效供水安全保障体系，加强对饮用水源的水质保护，加强螺河综合治理工程建设和加强碣石-湖东、三甲地区的生产生活用水保障。加快能源结构调整及天然气综合应用，大力推进管道燃气基础设施建设，改善大气环境，提升人民生活水平。</w:t>
      </w:r>
    </w:p>
    <w:p>
      <w:pPr>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——完善全市自来水厂布局建设。</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优化城乡供水设施，加快陆城自来水厂和甲子自来水厂建设。进一步推进村村通自来水工程建设，强化镇（场、区）农村供水管理，不断提高农村供水保障能力。</w:t>
      </w:r>
    </w:p>
    <w:p>
      <w:pPr>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——着力保障重大项目的生产用水。</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推动</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螺河至碣石引水工程</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建设，解决陆丰水资源东西分布不均衡问题，重点保障大南海石化产业园汕尾东海岸石化基地、碣石镇核电扩能、海工装备基地-湖东临港产业等重大项目的用水需求。加强对年久失修的排灌系统的维护，减少灌渠末端水资源的浪费，保障南塘、</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三甲</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等</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东南片区</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的农业生产用水需求。</w:t>
      </w:r>
    </w:p>
    <w:p>
      <w:pPr>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——推进中小河流治理、小流域综合治理和内涝整治工程建设。</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全面建成流域性防洪骨干工程，基本建成人水和谐的防洪除涝体系，完成3条中小河流治理，</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3</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宗小型水库除险加固任务，完成7宗大中型病险水闸工程建设任务，完成螺河桥闸改址重建工程建设；完成5宗小流域综合治理及2个涝区治理工程</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着力推进陆丰市中小河流治理工程</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（二期）</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、碣石镇南溪河整治工程</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等</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重点工程建设。市区防洪标准基本达到50年一遇，山区主要乡镇、重要村庄等防洪标准达到10～20年一遇。</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加快日供水能力20万吨的</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陆城</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自来水厂建设、陆城供水管网扩建和改造工程建设，提升供水保障水平。</w:t>
      </w:r>
    </w:p>
    <w:tbl>
      <w:tblPr>
        <w:tblStyle w:val="2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522" w:type="dxa"/>
          </w:tcPr>
          <w:p>
            <w:pPr>
              <w:pStyle w:val="10"/>
              <w:snapToGrid/>
              <w:spacing w:before="0" w:beforeAutospacing="0" w:after="120" w:afterAutospacing="0" w:line="240" w:lineRule="auto"/>
              <w:jc w:val="center"/>
              <w:textAlignment w:val="baseline"/>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专栏6-3 水利设施建设布局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1.水闸拆除重建工程：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我市列入全国大中型水闸除险加固专项规划的7宗项目（螺河水闸、西围八孔闸，苏区四孔闸、盐埕尾十四孔闸、东河八孔闸、碣石桥闸及湖东桥闸）建设完工，推动西围八孔闸续建完工。推动螺河水闸重建工程列入省政府“一事一议”事项，加快上级补助资金到位。将螺河水闸作为水利最重点的项目申报地方债券中。推动碣石大桥闸、湖东大桥闸、东河八孔闸等水闸加快设计。</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2.海堤尾达标加固工程：</w:t>
            </w:r>
          </w:p>
          <w:p>
            <w:pPr>
              <w:snapToGrid/>
              <w:spacing w:before="0" w:beforeAutospacing="0" w:after="0" w:afterAutospacing="0" w:line="400" w:lineRule="exact"/>
              <w:ind w:firstLine="560"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推动列入省千里海堤达标加固规划但未实施的乌坎海堤、上英-潭西海堤、碣石海堤、湖东海堤及金厢海堤项目建设。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3.规划水库建设：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对1宗中型水库（五里牌水库）及68宗未加固小型水库进行除险加固工程。加紧开展68宗小型水库安全鉴定工作。推动小型水库安全运行管理标准化建设。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4.规划中小河流建设：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加快完成8条总长69.3公里的中小河流治理工作。重点推动12宗新增中小河流治理项目治理。</w:t>
            </w:r>
          </w:p>
          <w:p>
            <w:pPr>
              <w:snapToGrid/>
              <w:spacing w:before="0" w:beforeAutospacing="0" w:after="0" w:afterAutospacing="0" w:line="400" w:lineRule="exact"/>
              <w:ind w:firstLine="562"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5.新建水</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厂</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、泵站及管道</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建设</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甲西镇、博美镇、铜锣湖水厂、星都经济开发区泵站建设；实施陆丰市尖山供水站泵房、西南镇水厂、桥冲镇水厂、八万镇下葫村、八万镇双派村、八万镇新坑村、八万镇长桥村、陂洋镇双坑村、陂洋镇古寨村、陂洋镇龙潭村、陂洋镇陂沟、陂洋镇草洋村、陂洋镇内洋村供水站改造升级工程；实施陆丰市螺河至碣石</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引水</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工程、陆丰市农村集中供水升级改造工程、陆丰市农村集中供水管网扩建工程。</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16" w:name="_Toc4507"/>
      <w:r>
        <w:rPr>
          <w:rFonts w:hint="eastAsia" w:ascii="黑体" w:hAnsi="黑体" w:eastAsia="黑体" w:cs="仿宋"/>
          <w:color w:val="000000" w:themeColor="text1"/>
          <w:sz w:val="32"/>
          <w:szCs w:val="32"/>
          <w:highlight w:val="none"/>
          <w14:textFill>
            <w14:solidFill>
              <w14:schemeClr w14:val="tx1"/>
            </w14:solidFill>
          </w14:textFill>
        </w:rPr>
        <w:t>第</w:t>
      </w:r>
      <w:r>
        <w:rPr>
          <w:rFonts w:hint="eastAsia" w:ascii="黑体" w:hAnsi="黑体" w:eastAsia="黑体" w:cs="仿宋"/>
          <w:color w:val="000000" w:themeColor="text1"/>
          <w:sz w:val="32"/>
          <w:szCs w:val="32"/>
          <w:highlight w:val="none"/>
          <w:lang w:val="en-US" w:eastAsia="zh-CN"/>
          <w14:textFill>
            <w14:solidFill>
              <w14:schemeClr w14:val="tx1"/>
            </w14:solidFill>
          </w14:textFill>
        </w:rPr>
        <w:t>四</w:t>
      </w:r>
      <w:r>
        <w:rPr>
          <w:rFonts w:hint="eastAsia" w:ascii="黑体" w:hAnsi="黑体" w:eastAsia="黑体" w:cs="仿宋"/>
          <w:color w:val="000000" w:themeColor="text1"/>
          <w:sz w:val="32"/>
          <w:szCs w:val="32"/>
          <w:highlight w:val="none"/>
          <w14:textFill>
            <w14:solidFill>
              <w14:schemeClr w14:val="tx1"/>
            </w14:solidFill>
          </w14:textFill>
        </w:rPr>
        <w:t>节 建设现代能源保障体系</w:t>
      </w:r>
      <w:bookmarkEnd w:id="116"/>
    </w:p>
    <w:p>
      <w:pPr>
        <w:pStyle w:val="10"/>
        <w:snapToGrid/>
        <w:spacing w:before="0" w:beforeAutospacing="0" w:after="120" w:afterAutospacing="0" w:line="240" w:lineRule="auto"/>
        <w:ind w:firstLine="643" w:firstLineChars="200"/>
        <w:jc w:val="both"/>
        <w:textAlignment w:val="baseline"/>
        <w:rPr>
          <w:rFonts w:ascii="Times New Roman" w:hAnsi="Times New Roman" w:eastAsia="宋体" w:cs="Times New Roman"/>
          <w:b w:val="0"/>
          <w:i w:val="0"/>
          <w:caps w:val="0"/>
          <w:color w:val="000000" w:themeColor="text1"/>
          <w:spacing w:val="0"/>
          <w:w w:val="100"/>
          <w:sz w:val="21"/>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——推动全市管道天然气“镇镇通”工程。</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着力推进粤东天然气主干管网建设，带动陆丰燃气管网建设、储气设施建设、燃气设施信息化系统建设和用户燃气设施安装，全面提升管道燃气普及率，完善能源基础设施网络。科学规划，编制燃气管网施工方案。优化设施投资、建设和运营监管制度，紧密政企合作，创新投融资模式，鼓励企业加大投入支持施工；成立管道燃气专项工作组，建立月报和联席会议机制，高效推进工程项目建设，争取在“十四五”末期实现全市管道天然气“镇镇通”。</w:t>
      </w:r>
      <w:r>
        <w:rPr>
          <w:rFonts w:hint="eastAsia"/>
          <w:b w:val="0"/>
          <w:i w:val="0"/>
          <w:caps w:val="0"/>
          <w:color w:val="000000" w:themeColor="text1"/>
          <w:spacing w:val="0"/>
          <w:w w:val="100"/>
          <w:sz w:val="21"/>
          <w:highlight w:val="none"/>
          <w:u w:val="none" w:color="auto"/>
          <w14:textFill>
            <w14:solidFill>
              <w14:schemeClr w14:val="tx1"/>
            </w14:solidFill>
          </w14:textFill>
        </w:rPr>
        <w:t xml:space="preserve"> </w:t>
      </w:r>
    </w:p>
    <w:p>
      <w:pPr>
        <w:pStyle w:val="10"/>
        <w:snapToGrid/>
        <w:spacing w:before="0" w:beforeAutospacing="0" w:after="120" w:afterAutospacing="0" w:line="240" w:lineRule="auto"/>
        <w:ind w:firstLine="643"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——完善区域电网建设。</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发挥陆丰电力能源优势，强化电网基础设施建设，提高区域电力交换保障能力，加快完善5</w:t>
      </w:r>
      <w:r>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00</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千伏、2</w:t>
      </w:r>
      <w:r>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20</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千伏网主网架和配电网络设施建设，推动工业园区电网配套和农村电网改造。促进电网信息化、智能化发展，搭建安全、可靠、绿色、高效的“智能电网”，建设智能变电站、智能配电网、智能电能表、智能交互终端等。构建现代化供电服务体系，服务支持大湾区、先行示范区高质量发展。</w:t>
      </w:r>
    </w:p>
    <w:tbl>
      <w:tblPr>
        <w:tblStyle w:val="2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522" w:type="dxa"/>
          </w:tcPr>
          <w:p>
            <w:pPr>
              <w:pStyle w:val="10"/>
              <w:snapToGrid/>
              <w:spacing w:before="0" w:beforeAutospacing="0" w:after="120" w:afterAutospacing="0" w:line="240" w:lineRule="auto"/>
              <w:jc w:val="center"/>
              <w:textAlignment w:val="baseline"/>
              <w:rPr>
                <w:rFonts w:hint="default"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专栏6-4 区域电网建设工程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numPr>
                <w:ilvl w:val="0"/>
                <w:numId w:val="0"/>
              </w:num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1.</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汕尾110千伏输变电工程：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新建110千伏桥冲、图岭、甲东、海仔、凯南、甲西、铜锣湖、玄武、陆西、八万、上英、湖东、金厢、博西变电站及富炜城光伏接入系统、星云至沙埔线路改造工程。</w:t>
            </w:r>
          </w:p>
          <w:p>
            <w:pPr>
              <w:numPr>
                <w:ilvl w:val="0"/>
                <w:numId w:val="0"/>
              </w:num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2.汕尾220千伏输变电工程：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新建220千伏星云至陂美线路西湖输变电工程（含110千伏配套线路工程）、陆西输变电工程。</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3.500汕尾甲子海上风电场项目（一期、二期）接入系统工程：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新建500kV线路92公里，用于甲子海上风电项目接入茅湖变电站。</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 xml:space="preserve">   </w:t>
            </w:r>
          </w:p>
          <w:p>
            <w:pPr>
              <w:snapToGrid/>
              <w:spacing w:before="0" w:beforeAutospacing="0" w:after="0" w:afterAutospacing="0" w:line="400" w:lineRule="exact"/>
              <w:ind w:firstLine="562"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4.汕尾500千伏陆丰输变电工程(含千伏配套线路）：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在陆丰陂洋镇附近新建一座500千伏变电站。主变规模：本期2台750兆伏安，终期4台750兆伏安，线路规模：双回送电线路约99千米，单回送电线路约22千米。</w:t>
            </w:r>
          </w:p>
        </w:tc>
      </w:tr>
    </w:tbl>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pPr>
      <w:bookmarkStart w:id="117" w:name="_Toc18974"/>
      <w:bookmarkStart w:id="118" w:name="_Toc27602"/>
      <w:bookmarkStart w:id="119" w:name="_Toc31877"/>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第七章 突出全面深化改革，扩大高水平对外开放</w:t>
      </w:r>
      <w:bookmarkEnd w:id="117"/>
      <w:bookmarkEnd w:id="118"/>
      <w:bookmarkEnd w:id="119"/>
    </w:p>
    <w:p>
      <w:pPr>
        <w:snapToGrid/>
        <w:spacing w:before="0" w:beforeAutospacing="0" w:after="0" w:afterAutospacing="0" w:line="600" w:lineRule="exact"/>
        <w:ind w:firstLine="640" w:firstLineChars="200"/>
        <w:jc w:val="left"/>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推动全面深化改革，在改革中获取新发展动力。对接大湾区营商环境，</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加快</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推动</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政府职能转变，深化简政放权、加强监督、优化服务等多领域改革，减少政府对市场资源的直接配置和对市场活动的直接干预，完善体制机制，充分发挥“市场性决定作用”。</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20" w:name="_Toc4406"/>
      <w:bookmarkStart w:id="121" w:name="_Toc15597"/>
      <w:bookmarkStart w:id="122" w:name="_Toc23539"/>
      <w:r>
        <w:rPr>
          <w:rFonts w:hint="eastAsia" w:ascii="黑体" w:hAnsi="黑体" w:eastAsia="黑体" w:cs="仿宋"/>
          <w:color w:val="000000" w:themeColor="text1"/>
          <w:sz w:val="32"/>
          <w:szCs w:val="32"/>
          <w:highlight w:val="none"/>
          <w14:textFill>
            <w14:solidFill>
              <w14:schemeClr w14:val="tx1"/>
            </w14:solidFill>
          </w14:textFill>
        </w:rPr>
        <w:t>第一节 全面深化经济领域改革</w:t>
      </w:r>
      <w:bookmarkEnd w:id="120"/>
      <w:bookmarkEnd w:id="121"/>
      <w:bookmarkEnd w:id="122"/>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——深化国企国资改革。</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构建长效机制，制定实施国企国资改革行动方案，明确服务改革的目标任务和支持方向。优化国资布局，立足开发建设、产业发展和民生服务融合发展的定位，推动商贸业等传统产业创新转型；优化国企运营，加快“僵尸企业”出清重组，以国有企业为主体，市场为导向，通过管理创新、技术创新和模式创新打造品牌国企，通过数字化升级提升国企运营能力，提升企业核心竞争力；优化国资监管，完善国有企业法人治理结构和市场化经营机制，形成以管资本为主的国有资产监管体制，完善企业现代治理体系，深化国有企业混合所有制改革，深化国有资本投资、运营公司改革；优化国企党建，坚持党建引领，发挥国有企业政治优势，推动党建与生产经营深度融合，以高质量党建引领高质量发展。</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——推进现代财税体制改革。</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完善政府预算体系，加强政府性基金预算、国有资本经营预算、社会保险基金预算与一般公共预算统筹衔接，加强对公共资源的综合管理，依托行政权力和国有资源（资产）收入以及特许经营权拍卖收入等按规定全面纳入预算管理。推进财政支出标准化，加强普惠性、基础性、兜底性民生建设，健全基本公共服务保障标准，探索基本公共服务项目清单化管理，增强基层公共服务保障能力。强化预算约束和预算绩效管理，推进绩效指标体系建设，完善预算绩效管理考核，提升财政资源配置和资金使用效益，落实税收征管制度，推进依法治税。健全落实国家财政政策和货币政策的有效机制，提高经济治理能力。</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——优化创新投融资体制机制。</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完善开发机制，推进基础设施建设和土地开发相结合，构建基础设施条件改善带动土地升值，土地升值收益用于基础设施建设的城市建设资金良性循环。加强政府投资管理，以非经营性项目为主，资金重点投向社会公益服务、公共基础设施、农业农村、生态环境保护和修复、重大科技进步、社会管理、国家安全等公共领域的项目。规范政府投资行为，统筹安排、规范使用各类政府投资资金。强化政府投资项目过程管理，改进和规范政府投资项目审批制度，加强政府投资项目建设管理，完善政府投资监管机制和竣工验收制度，建立社会监督机制，推动政府投资信息公开。</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23" w:name="_Toc22951"/>
      <w:bookmarkStart w:id="124" w:name="_Toc26326"/>
      <w:bookmarkStart w:id="125" w:name="_Toc21863"/>
      <w:r>
        <w:rPr>
          <w:rFonts w:hint="eastAsia" w:ascii="黑体" w:hAnsi="黑体" w:eastAsia="黑体" w:cs="仿宋"/>
          <w:color w:val="000000" w:themeColor="text1"/>
          <w:sz w:val="32"/>
          <w:szCs w:val="32"/>
          <w:highlight w:val="none"/>
          <w14:textFill>
            <w14:solidFill>
              <w14:schemeClr w14:val="tx1"/>
            </w14:solidFill>
          </w14:textFill>
        </w:rPr>
        <w:t>第二节 全面发挥市场在资源配置决定作</w:t>
      </w:r>
      <w:bookmarkEnd w:id="123"/>
      <w:bookmarkEnd w:id="124"/>
      <w:r>
        <w:rPr>
          <w:rFonts w:hint="eastAsia" w:ascii="黑体" w:hAnsi="黑体" w:eastAsia="黑体" w:cs="仿宋"/>
          <w:color w:val="000000" w:themeColor="text1"/>
          <w:sz w:val="32"/>
          <w:szCs w:val="32"/>
          <w:highlight w:val="none"/>
          <w14:textFill>
            <w14:solidFill>
              <w14:schemeClr w14:val="tx1"/>
            </w14:solidFill>
          </w14:textFill>
        </w:rPr>
        <w:t>用</w:t>
      </w:r>
      <w:bookmarkEnd w:id="125"/>
    </w:p>
    <w:p>
      <w:pPr>
        <w:pStyle w:val="10"/>
        <w:snapToGrid/>
        <w:spacing w:before="0" w:beforeAutospacing="0" w:after="120" w:afterAutospacing="0" w:line="240" w:lineRule="auto"/>
        <w:ind w:firstLine="640" w:firstLineChars="200"/>
        <w:jc w:val="both"/>
        <w:textAlignment w:val="baseline"/>
        <w:rPr>
          <w:rFonts w:ascii="Times New Roman" w:hAnsi="Times New Roman" w:eastAsia="宋体" w:cs="Times New Roman"/>
          <w:b w:val="0"/>
          <w:i w:val="0"/>
          <w:caps w:val="0"/>
          <w:color w:val="000000" w:themeColor="text1"/>
          <w:spacing w:val="0"/>
          <w:w w:val="100"/>
          <w:sz w:val="21"/>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充分发挥市场在资源配置中的决定性作用，推动土地、劳动力、资本、技术、数据五个要素市场化配置改革。深化土地制度改革，建立土地二级市场交易实施细则，加强监管服务，实现土地要素流通顺畅，提高存量土地资源配置效率；制订低效存量土地分类处置方案，推进国有企业存量土地盘活利用；提出制定土地利用计划管理实施细则，完善园区用地保障机制，充分释放土地红利。畅通人才流动渠道，建立健全规范的人力资源市场体系，完善各类人才政策，加大引才引智力度，推进人才有序流动。发挥好资本市场作用，全力冲刺上市企业“破零”目标，建立促进企业上市挂牌工作机制，引导企业拓宽融资渠道，提供企业上市挂牌“一条龙”服务，加大直接帮扶力度，全方位营造企业上市环境；促进技术流动，加快培育技术要素市场，加速科技成果转化、提高自主创新能力。培育数据新型生产要素市场，推动数据开放共享，完善基础数据库，建立健全数据开放、共享、交换的协调机制，建立统一的数据管理制度，提升数据资源价值。</w:t>
      </w:r>
      <w:r>
        <w:rPr>
          <w:rFonts w:hint="eastAsia"/>
          <w:b w:val="0"/>
          <w:i w:val="0"/>
          <w:caps w:val="0"/>
          <w:color w:val="000000" w:themeColor="text1"/>
          <w:spacing w:val="0"/>
          <w:w w:val="100"/>
          <w:sz w:val="21"/>
          <w:highlight w:val="none"/>
          <w:u w:val="none" w:color="auto"/>
          <w14:textFill>
            <w14:solidFill>
              <w14:schemeClr w14:val="tx1"/>
            </w14:solidFill>
          </w14:textFill>
        </w:rPr>
        <w:t xml:space="preserve"> </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26" w:name="_Toc10103"/>
      <w:bookmarkStart w:id="127" w:name="_Toc22034"/>
      <w:bookmarkStart w:id="128" w:name="_Toc28085"/>
      <w:r>
        <w:rPr>
          <w:rFonts w:hint="eastAsia" w:ascii="黑体" w:hAnsi="黑体" w:eastAsia="黑体" w:cs="仿宋"/>
          <w:color w:val="000000" w:themeColor="text1"/>
          <w:sz w:val="32"/>
          <w:szCs w:val="32"/>
          <w:highlight w:val="none"/>
          <w:lang w:val="en-US" w:eastAsia="zh-CN"/>
          <w14:textFill>
            <w14:solidFill>
              <w14:schemeClr w14:val="tx1"/>
            </w14:solidFill>
          </w14:textFill>
        </w:rPr>
        <w:t xml:space="preserve">第三节 </w:t>
      </w:r>
      <w:r>
        <w:rPr>
          <w:rFonts w:hint="eastAsia" w:ascii="黑体" w:hAnsi="黑体" w:eastAsia="黑体" w:cs="仿宋"/>
          <w:color w:val="000000" w:themeColor="text1"/>
          <w:sz w:val="32"/>
          <w:szCs w:val="32"/>
          <w:highlight w:val="none"/>
          <w14:textFill>
            <w14:solidFill>
              <w14:schemeClr w14:val="tx1"/>
            </w14:solidFill>
          </w14:textFill>
        </w:rPr>
        <w:t>全面加快转变政府职能</w:t>
      </w:r>
      <w:bookmarkEnd w:id="126"/>
      <w:bookmarkEnd w:id="127"/>
      <w:bookmarkEnd w:id="128"/>
    </w:p>
    <w:p>
      <w:pPr>
        <w:snapToGrid/>
        <w:spacing w:before="0" w:beforeAutospacing="0" w:after="0" w:afterAutospacing="0" w:line="600" w:lineRule="exact"/>
        <w:ind w:firstLine="643" w:firstLineChars="200"/>
        <w:jc w:val="left"/>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——完善政府治理体系。</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进机构、职能、权限、程序、责任法定化，构建职责明确、依法行政的政府治理体系。深入推进简政放权、放管结合、优化服务，全面实行政府权责清单制度。构建简约高效的基层管理体制，扎实推进基层治理体系和治理能力建设。健全重大政策事前评估和事后评价制度，加大政务公开力度，提高决策科学化、民主化、法治化水平。对照中央和省级机构改革，调整优化县级党政机构和职能，建立健全和优化市委对重大工作的领导体制机制，加强市委职能部门的统一归口协调管理职能，新组建和优化职责的机构。建立与中央和省级机构基本对应的机构和因地制宜设置机构。</w:t>
      </w:r>
    </w:p>
    <w:p>
      <w:pPr>
        <w:snapToGrid/>
        <w:spacing w:before="0" w:beforeAutospacing="0" w:after="0" w:afterAutospacing="0" w:line="600" w:lineRule="exact"/>
        <w:ind w:firstLine="643" w:firstLineChars="200"/>
        <w:jc w:val="left"/>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——优化市场化法治化国际化营商环境。</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深化“放管服”改革，加快政府职能转变，减少政府对市场资源的直接配置和对市场活动的直接干预。分类推进行政审批制度改革，明确审批责任，深化“证照分离”和“最多跑一次”改革，探索优化“并联审批、限时办结”制度，降低市场主体办事成本，提升政务服务效能。坚持放管结合，以公正监管促进公平竞争。创新包容审慎监管，促进新兴产业加快发展。全面构建“服务型”政府，进一步增强服务意识，推进政务公开，创新服务方式，提高办事效率，更新服务理念。</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6"/>
              <w:snapToGrid/>
              <w:spacing w:before="0" w:beforeAutospacing="0" w:after="0" w:afterAutospacing="0" w:line="240" w:lineRule="auto"/>
              <w:ind w:firstLine="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w:t>
            </w:r>
            <w:r>
              <w:rPr>
                <w:rFonts w:hint="default"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 xml:space="preserve">7-1 </w:t>
            </w: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打造一流营商环境重点工程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1.推进企业开办登记便利化：</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压缩企业开办时间，企业设立登记在1个工作日内完成。推行全程电子化商事登记，实现市场主体的设立、变更、备案、注销等各个环节均可通过互联网办理。</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2.推进工程建设项目便利化：</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深化工程建设项目审批制度改革，围绕“最多跑一次”的目标，优化工程建设项目审批流程，压减审批时限。大力推动行政审批全面提速。力争实现政府投资项目审批时间压缩至80个工作日内，政府投资小型项目审批时间控制在28个工作日内；社会投资项目审批时间压缩至35个工作日内。</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3.升级改造工程：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推进不动产登记便利化，落实“互联网+不动产登记”“不动产登记+金融服务”要求，优化不动产登记流程，压缩办结时间，提升不动产登记服务水平。</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4.推进企业投资项目落地便利化：</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建立多部门项目审批并联机制，减少申请材料、“容缺受理”和限时办结制度，实现审批时限提速50%以上。</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5.推进纳税便利化：</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推广“非接触式”办税缴费服务，争取电子税务业务办理使用率为90%以上。</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6.推进获得用水用电用气便利化:</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推动企业用水用电用气业务办理全流程重构，优化审批流程，压缩办理时限。</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7.推进信贷便利化:</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推进信贷便利化，助力企业复工复产，加大对小微企业、乡村振兴、精准扶贫、生态环境治理等领域的信贷支持。</w:t>
            </w:r>
          </w:p>
          <w:p>
            <w:pPr>
              <w:snapToGrid/>
              <w:spacing w:before="0" w:beforeAutospacing="0" w:after="0" w:afterAutospacing="0" w:line="400" w:lineRule="exact"/>
              <w:ind w:firstLine="562" w:firstLineChars="200"/>
              <w:jc w:val="both"/>
              <w:textAlignment w:val="baseline"/>
              <w:rPr>
                <w:rFonts w:cs="仿宋_GB2312"/>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8.营造更加开放的投资环境:</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深化改革开放，加大招商引资力度，营造更加开放的投资环境。</w:t>
            </w:r>
          </w:p>
        </w:tc>
      </w:tr>
    </w:tbl>
    <w:p>
      <w:pPr>
        <w:snapToGrid/>
        <w:spacing w:before="0" w:beforeAutospacing="0" w:after="0" w:afterAutospacing="0" w:line="600" w:lineRule="exact"/>
        <w:ind w:firstLine="643" w:firstLineChars="200"/>
        <w:jc w:val="both"/>
        <w:textAlignment w:val="baseline"/>
        <w:rPr>
          <w:rFonts w:ascii="仿宋_GB2312" w:hAnsi="宋体"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——加快政府数字化转型。</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充分利用互联网、大数据、人工智能等数字技术，以数据治理为核心手段，围绕决策科学、治理精细、服务高效的目标，推动陆丰政务服务向数字化、智能化转型。推行</w:t>
      </w:r>
      <w:r>
        <w:rPr>
          <w:rFonts w:hint="eastAsia" w:ascii="仿宋_GB2312" w:hAnsi="宋体" w:eastAsia="仿宋_GB2312"/>
          <w:b w:val="0"/>
          <w:i w:val="0"/>
          <w:caps w:val="0"/>
          <w:color w:val="000000" w:themeColor="text1"/>
          <w:spacing w:val="0"/>
          <w:w w:val="100"/>
          <w:sz w:val="32"/>
          <w:szCs w:val="32"/>
          <w:highlight w:val="none"/>
          <w:u w:val="none" w:color="auto"/>
          <w14:textFill>
            <w14:solidFill>
              <w14:schemeClr w14:val="tx1"/>
            </w14:solidFill>
          </w14:textFill>
        </w:rPr>
        <w:t>“一网通办、智慧‘秒批’、精准服务”政务服务模式，加快实现“八个便利化”。持续推进“减证便民”行动，加快打造“无证明城市”。推行“六个通办”，全面推进民生事项“一证通办”，探索企业事项“一码通办”。依托市政务服务平台和基层公共服务平台，推动政务云建设，开展“互联网+政务服务”改革，推进高频政务服务事项进驻“粤省事”“粤商通”等自助终端办理，推行一站式“指尖办理”。</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jc w:val="center"/>
              <w:textAlignment w:val="baseline"/>
              <w:rPr>
                <w:b/>
                <w:bCs/>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专栏7-2 陆丰市“数字政府”重点工程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1.加强云、网、数等信息基础建设：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加速市民服务广场“5G+”智慧大厅建设，打造“群众点菜、政府端菜”的“中央厨房”。</w:t>
            </w:r>
          </w:p>
          <w:p>
            <w:pPr>
              <w:snapToGrid/>
              <w:spacing w:before="0" w:beforeAutospacing="0" w:after="0" w:afterAutospacing="0" w:line="400" w:lineRule="exact"/>
              <w:ind w:firstLine="562" w:firstLineChars="200"/>
              <w:jc w:val="both"/>
              <w:textAlignment w:val="baseline"/>
              <w:rPr>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2.加快一体化政务服务平台建设：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公布全市不少于200个“四免”事项及优化措施；拓展高频事项用证渠道和业务场景，积极推进“免证办”；优化进驻实体政务大厅事项办理流程，推动“一件事”审批流程再造；完成50个以上全城“一地通办”事项的深度梳理优化。</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29" w:name="_Toc21563"/>
      <w:r>
        <w:rPr>
          <w:rFonts w:hint="eastAsia" w:ascii="黑体" w:hAnsi="黑体" w:eastAsia="黑体" w:cs="仿宋"/>
          <w:color w:val="000000" w:themeColor="text1"/>
          <w:sz w:val="32"/>
          <w:szCs w:val="32"/>
          <w:highlight w:val="none"/>
          <w14:textFill>
            <w14:solidFill>
              <w14:schemeClr w14:val="tx1"/>
            </w14:solidFill>
          </w14:textFill>
        </w:rPr>
        <w:t>第四节 坚持高质量招商引资打造对外开放新高地</w:t>
      </w:r>
      <w:bookmarkEnd w:id="129"/>
    </w:p>
    <w:p>
      <w:pPr>
        <w:snapToGrid/>
        <w:spacing w:before="0" w:beforeAutospacing="0" w:after="0" w:afterAutospacing="0" w:line="600" w:lineRule="exact"/>
        <w:ind w:firstLine="640" w:firstLineChars="200"/>
        <w:jc w:val="left"/>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围绕</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主导产业，制定</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“建链、补链、延链、强链”</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的招商引资方案</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综合发挥政府、龙头企业、商会、乡贤等力量，</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瞄准国内外百强企业、行业龙头企业、国企央企、知名中介机构和投资促进机构等，开展精准招商，引进战略投资者、产业龙头企业、科技领军企业和技术研发机构。着力引进金融、物流、信息服务、电子商务、科技服务、商贸会展、商务服务等生产性服务业项目。加强和完善招商引资机制，搭建市场化招商平台，积极参与广交会、进博会、海博会、深圳高交会、珠宝展等重要展会，加强与粤港澳大湾区联合推介与招商，提升招商实效。加快推进“乡贤经济”计划，发挥各地商会组织作用，整合利用乡贤资源，形成“百企回陆、千商返乡”壮丽局面，多形式搭建对外开放平台，汇聚“陆丰人经济”资源。</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30" w:name="_Toc17602"/>
      <w:r>
        <w:rPr>
          <w:rFonts w:hint="eastAsia" w:ascii="黑体" w:hAnsi="黑体" w:eastAsia="黑体" w:cs="仿宋"/>
          <w:color w:val="000000" w:themeColor="text1"/>
          <w:sz w:val="32"/>
          <w:szCs w:val="32"/>
          <w:highlight w:val="none"/>
          <w14:textFill>
            <w14:solidFill>
              <w14:schemeClr w14:val="tx1"/>
            </w14:solidFill>
          </w14:textFill>
        </w:rPr>
        <w:t>第五节 积极主动参与“一带一路”建设对外开放</w:t>
      </w:r>
      <w:bookmarkEnd w:id="130"/>
    </w:p>
    <w:p>
      <w:pPr>
        <w:snapToGrid/>
        <w:spacing w:before="0" w:beforeAutospacing="0" w:after="0" w:afterAutospacing="0" w:line="600" w:lineRule="exact"/>
        <w:ind w:firstLine="640" w:firstLineChars="200"/>
        <w:jc w:val="left"/>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坚持共商共建共享原则，秉持</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一体共赢</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理念，</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统筹发展与安全</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拓展形成多方多领域</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共同发展</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渠道</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重点围绕</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战略性新兴产业、临港工业和能源产业、传统优势产业</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加强国际合作</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构筑互利共赢的产业链供应链合作体系，扩大双向贸易和投资。积极参与“一带一路”沿线国家境外经贸活动，深化公共卫生、数字经济、绿色发展、科技教育合作，促进人文交流。深入学习中国（广东）自由贸易试验区成功经验，推动贸易和投资自由化便利化，推进贸易创新发展，增强对外贸易综合竞争力。积极推动国际贸易“单一窗口”全覆盖，进一步简化通关流程。主动对接好深圳自贸片区，培育壮大</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参与外循环发展的</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新增长点。</w:t>
      </w: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pPr>
      <w:bookmarkStart w:id="131" w:name="_Toc7692"/>
      <w:bookmarkStart w:id="132" w:name="_Toc20395"/>
      <w:bookmarkStart w:id="133" w:name="_Toc12196"/>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第</w:t>
      </w:r>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八</w:t>
      </w:r>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 xml:space="preserve">章 </w:t>
      </w:r>
      <w:bookmarkEnd w:id="96"/>
      <w:bookmarkEnd w:id="103"/>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加大农业农村发展力度，全面推进乡村振兴</w:t>
      </w:r>
      <w:bookmarkEnd w:id="131"/>
      <w:bookmarkEnd w:id="132"/>
      <w:bookmarkEnd w:id="133"/>
    </w:p>
    <w:p>
      <w:pPr>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深入推动乡村建设，加快推进</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5+2</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农村综合改革，进一步补齐农村公共服务短板。通过深化帮扶及造血机制，拓展脱贫攻坚成果和城乡综合治理体系</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推动脱贫攻坚与乡村振兴有效衔接。</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紧密对接粤港澳大湾区对优质绿色农产品的需求，大力发展</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都市型现代精品</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农业</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建设</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具有</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陆丰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特色的优质</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农产品</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供应基地</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乡村振兴</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全面发展。</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34" w:name="_Toc18133"/>
      <w:bookmarkStart w:id="135" w:name="_Toc5838"/>
      <w:bookmarkStart w:id="136" w:name="_Toc16510"/>
      <w:bookmarkStart w:id="137" w:name="_Toc16677"/>
      <w:r>
        <w:rPr>
          <w:rFonts w:hint="eastAsia" w:ascii="黑体" w:hAnsi="黑体" w:eastAsia="黑体" w:cs="仿宋"/>
          <w:color w:val="000000" w:themeColor="text1"/>
          <w:sz w:val="32"/>
          <w:szCs w:val="32"/>
          <w:highlight w:val="none"/>
          <w14:textFill>
            <w14:solidFill>
              <w14:schemeClr w14:val="tx1"/>
            </w14:solidFill>
          </w14:textFill>
        </w:rPr>
        <w:t>第一节 实施乡村建设行动</w:t>
      </w:r>
      <w:bookmarkEnd w:id="134"/>
      <w:bookmarkEnd w:id="135"/>
      <w:bookmarkEnd w:id="136"/>
      <w:bookmarkEnd w:id="137"/>
    </w:p>
    <w:p>
      <w:pPr>
        <w:snapToGrid/>
        <w:spacing w:before="0" w:beforeAutospacing="0" w:after="0" w:afterAutospacing="0" w:line="240" w:lineRule="auto"/>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分阶段推动乡村建设落到实处，重点推动人居环境整治、生活垃圾处理、污水治理、道路设施建设和农村房屋改造，着力打造乡村振兴示范带。到2022年，全市60%以上行政村达到美丽宜居村标准。主要交通干道、河流沿线连线连片建设初见成效；支持有条件的村庄率先创建一批特色精品村。到2025年，全市80%以上行政村达到美丽宜居村标准。</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持续推进农村人居环境综合整治</w:t>
      </w:r>
    </w:p>
    <w:p>
      <w:pPr>
        <w:snapToGrid/>
        <w:spacing w:before="0" w:beforeAutospacing="0" w:after="0" w:afterAutospacing="0" w:line="240" w:lineRule="auto"/>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持续开展“三清理三拆除三整治”行动。以城郊村、交通干道沿线、河道两旁村庄为重点，开展环境卫生集中整治行动，集中力量消灭辖区卫生死角。落实环境卫生网格化管理制度，加快建立农村人居环境整治长效管护和运行机制。研究启动农场、林场人居环境整治工作。</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加快推进生活垃圾治理</w:t>
      </w:r>
    </w:p>
    <w:p>
      <w:pPr>
        <w:snapToGrid/>
        <w:spacing w:before="0" w:beforeAutospacing="0" w:after="0" w:afterAutospacing="0" w:line="240" w:lineRule="auto"/>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实施农村生活垃圾农户分类、回收利用、设施提升、制度建设、长效管理五大行动。完善农村生活垃圾户分类、村收集、转运处理和就地处理模式。落实《汕尾城乡生活垃圾分类实施方案》，推广先进城市农村生活垃圾分类试点经验，提高农村生活垃圾分类覆盖面。开展以乡镇为单元的环卫保洁试点，城区、中心镇、示范村要率先打造“全国最干净最整洁地区（村庄）”。健全农村卫生保洁长效运营机制，加快生活垃圾分类处理终端建设。到2025年，收运处置体系覆盖所有自然村组并实现稳定运行，全市基本建成农村生活垃圾分类处理系统。</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加强农村生活污水治理</w:t>
      </w:r>
    </w:p>
    <w:p>
      <w:pPr>
        <w:snapToGrid/>
        <w:spacing w:before="0" w:beforeAutospacing="0" w:after="0" w:afterAutospacing="0" w:line="240" w:lineRule="auto"/>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做好农村生活污水治理与改厕统筹工作，进一步做好在规划布局、建设时序等方面的工作衔接。坚持实事求是、因地制宜、建管并重的原则，选用农村生活污水治理模式及处理技术工艺，统筹考虑农村生活污水治理设施建设和运行维护。优先治理重点国考断面水质达标控制单元、饮用水水源保护区和省“千村示范、万村整治”工程示范县镇村、美丽乡村景观示范带等重点区域。将城镇周边的村庄、渔村、渔港生活污水优先纳入城镇污水处理系统统一处理。人口规模较大的村庄优先建设集中式污水处理设施；边缘村庄采用小型分散式污水处理设施；水环境较好、人口较少村庄生活污水因地制宜，自净消纳。2025年，</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力争</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全市95%以上行政村建有污水处理设施。</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推进村道和村内道路硬化</w:t>
      </w:r>
    </w:p>
    <w:p>
      <w:pPr>
        <w:snapToGrid/>
        <w:spacing w:before="0" w:beforeAutospacing="0" w:after="0" w:afterAutospacing="0" w:line="240" w:lineRule="auto"/>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加快推进创建“四好（建好、管好、护好、运营好）农村路”工作，统筹推进市域道路建设，全面推进乡镇（街道）通行政村公路改造、村委会通自然村村道路面硬化、自然村村内道路硬化3类道路基础设施建设。大力开展“四好农村路示范县”创建工作。加快改造连接现代农业产业园区、林场、旅游景点的农村公路，加快推进农村公路安全生命防护工程、危桥改造和通20户（100人）自然村公路路面硬底化，推动农村泥土路在全部硬底化的基础上，进一步拓宽。到2025年，自然村完成村内道路硬化。</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推进村庄集中供水</w:t>
      </w:r>
    </w:p>
    <w:p>
      <w:pPr>
        <w:snapToGrid/>
        <w:spacing w:before="0" w:beforeAutospacing="0" w:after="0" w:afterAutospacing="0" w:line="240" w:lineRule="auto"/>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实施城乡供水统筹，以城带乡策略。市级城乡供水工作，规模化和城乡一体化工程基本实现城乡供水同网、同质、同服务，地处偏远、人口分散地区采取小型集中供水工程供水，由城乡供水统管机构落实工程维修养护责任。到2025年，陆丰范围自然村实现集中供水全覆盖，全市农村自来水普及率进一步提高。</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规范农房改造建设和风貌提升</w:t>
      </w:r>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突出农房建设的体制机制建设。完善农村宅基地和农房建设管理的政策，制定农房管控的正面、负面清单，建立健全农村住房报建管理制度。注重点、线、面相结合，整体推进农村风貌提升，加快形成农村风貌带。推进农户房前屋后院内、村道巷道、村边水边、空地闲地绿化美化，打造农村“四小园”。在保护各级历史文化名村、传统村落和各级不可移动文物、历史建筑，以及具有价值的传统建（构）筑构件的前提下，加快推进农村破旧泥砖房清理整治。深入推进农村削坡建房风险点排查，加大农村削坡建房风险点整治力度，消除安全隐患。进农村风貌提升，深入推进“两违”建筑清拆整治工作，探索农村住房报建管理制度，推广使用农房设计通用图则。对铁路、国省道、主要海滨河流沿线、南越古驿道、A级旅游景区进行复垦复绿。2025年底前，基本完成农村旧房整治，基本实现农村住房外观整洁、建设有序、管理规范。</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38" w:name="_Toc3674"/>
      <w:bookmarkStart w:id="139" w:name="_Toc58320413"/>
      <w:bookmarkStart w:id="140" w:name="_Toc11290"/>
      <w:bookmarkStart w:id="141" w:name="_Toc4688"/>
      <w:bookmarkStart w:id="142" w:name="_Toc823"/>
      <w:bookmarkStart w:id="143" w:name="_Toc58320411"/>
      <w:bookmarkStart w:id="144" w:name="_Toc8916"/>
      <w:r>
        <w:rPr>
          <w:rFonts w:hint="eastAsia" w:ascii="黑体" w:hAnsi="黑体" w:eastAsia="黑体" w:cs="仿宋"/>
          <w:color w:val="000000" w:themeColor="text1"/>
          <w:sz w:val="32"/>
          <w:szCs w:val="32"/>
          <w:highlight w:val="none"/>
          <w14:textFill>
            <w14:solidFill>
              <w14:schemeClr w14:val="tx1"/>
            </w14:solidFill>
          </w14:textFill>
        </w:rPr>
        <w:t>第二节 促进脱贫攻坚与乡村振兴有机衔接</w:t>
      </w:r>
      <w:bookmarkEnd w:id="138"/>
      <w:bookmarkEnd w:id="139"/>
      <w:bookmarkEnd w:id="140"/>
      <w:bookmarkEnd w:id="141"/>
      <w:bookmarkEnd w:id="142"/>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cs="仿宋_GB2312"/>
          <w:b/>
          <w:bCs/>
          <w:i w:val="0"/>
          <w:caps w:val="0"/>
          <w:color w:val="000000" w:themeColor="text1"/>
          <w:spacing w:val="0"/>
          <w:w w:val="100"/>
          <w:sz w:val="32"/>
          <w:szCs w:val="32"/>
          <w:highlight w:val="none"/>
          <w:u w:val="none" w:color="auto"/>
          <w:lang w:bidi="ar"/>
          <w14:textFill>
            <w14:solidFill>
              <w14:schemeClr w14:val="tx1"/>
            </w14:solidFill>
          </w14:textFill>
        </w:rPr>
        <w:t>——促进农民收入稳定增长。</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拓宽农民增收渠道，健全城乡均等的公共就业创业服务制度，增加就业岗位和创业机会。通过利润返还、保底分红、股份合作等多种形式</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完善企业与农民利益联结机制，引导农户自愿以土地经营权等入股企业。促进小农户和现代农业发展有机衔接，推动农业提质增效转型升级，建立农产品优质优价正向激励机制，提高农民经营性收入。深化农村土地股份制改革，盘活农村各类资源，鼓励</w:t>
      </w:r>
      <w:r>
        <w:rPr>
          <w:rFonts w:hint="eastAsia" w:ascii="仿宋_GB2312" w:hAnsi="仿宋_GB2312" w:eastAsia="仿宋_GB2312" w:cs="仿宋_GB2312"/>
          <w:b w:val="0"/>
          <w:bCs/>
          <w:i w:val="0"/>
          <w:caps w:val="0"/>
          <w:color w:val="000000" w:themeColor="text1"/>
          <w:spacing w:val="0"/>
          <w:w w:val="100"/>
          <w:sz w:val="32"/>
          <w:szCs w:val="32"/>
          <w:highlight w:val="none"/>
          <w:u w:val="none" w:color="auto"/>
          <w14:textFill>
            <w14:solidFill>
              <w14:schemeClr w14:val="tx1"/>
            </w14:solidFill>
          </w14:textFill>
        </w:rPr>
        <w:t>将农村集体经营性资产以股份或份额形式量化到本集体成员，增加农民财产性收入。完善涉农补贴政策，探索建立普惠性农民补贴长效机制。健全稳定可持续的脱贫长效机制，完善“市抓落实、镇（场、区）推进和实施”的工作机制。</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改进帮扶方式方法，开展扶贫扶志行动，更多采用生产奖补、劳务补助等机制，推动贫困群众脱贫致富。</w:t>
      </w:r>
    </w:p>
    <w:p>
      <w:pPr>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——推动脱贫攻坚与乡村振兴有效衔接。</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深化帮扶及造血机制，拓展脱贫攻坚成果。</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建立农村低收入人口和欠发达地区帮扶机制，保持财政投入力度总体稳定，接续推进脱贫地区发展。健全防止返贫监测和帮扶机制，做好易地扶贫搬迁后续帮扶工作，加强扶贫项目资金资产管理和监督，推动特色产业可持续发展。健全农村社会保障和救助制度。完善对口支援、社会力量参与帮扶等机制。建立致贫或返贫风险评估体系，做好城乡人口大数据动态监测，及时解决因意外致贫、返贫等问题。健全会服务体系，提倡发展社区、康复中心、家政等智能服务，提高农村养老、住房和教育保障水平，完善医疗、就业等专项救助制度。高标准推进现代农业产业园建设，发展现代化产业链和产业集群，推动产业经济深度发展；建立“互联网+乡村”市场信息咨询平台，实现乡村就业与企业用工需求结合，创新驱动农村电子商务，推动物流产业链发展，搭建产销对接平台，解决产品供销、流通难问题。筑牢基层战斗堡垒，加强基层党建智能服务。</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00" w:lineRule="exact"/>
              <w:ind w:left="0" w:leftChars="0"/>
              <w:jc w:val="center"/>
              <w:textAlignment w:val="baseline"/>
              <w:rPr>
                <w:rFonts w:cs="仿宋_GB2312"/>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专栏8-1：乡村振兴重点工程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1.现代农业招商工程：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利用农业资源，主动对接台湾、山东、福建等蔬果、茶叶生产基地投资企业前来投资，重点发展岭南特色水果、品牌蔬菜、茶叶、南药等生态高效产业。</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2.现代农业产业发展工程：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做大做强“名、优、特、新”农产品品牌；发挥海大海洋经济种业产业园、新超发生猪养殖基地、冠源大安奶牛农场带动作用，发展现代养殖业；利用碣石萝卜、甘薯现代</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省级</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农业产业园优势，发展都市型农业。加快推进乡村旅游田园体验综合体，发展观赏型农业和体验型农业。</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3.政策创设和资金扶持：</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加大对“菜篮子”工程、“一村一品”、农业产业园、农业品牌等项目的投入，增强“湾区”农业发展基础</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并安排</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专项资金。</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4.金融信贷支持和资金投入工程：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分别对种植面积500亩、1000亩、3000亩以上蔬菜种植基地给予补贴，用于恢复生产和扩大规模。</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5.产业主体扶持工程：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提升现有2个省级现代农业产业园和1个市级现代农业产业园发展水平。争取“十四五”时期，再建设市级以上现代农业产业园2个以上；培育20家市级以上农业龙头企业、25家市级以上农民专业合作社示范社、30家市级以上家庭农场。</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45" w:name="_Toc20268"/>
      <w:bookmarkStart w:id="146" w:name="_Toc10716"/>
      <w:bookmarkStart w:id="147" w:name="_Toc21364"/>
      <w:r>
        <w:rPr>
          <w:rFonts w:hint="eastAsia" w:ascii="黑体" w:hAnsi="黑体" w:eastAsia="黑体" w:cs="仿宋"/>
          <w:color w:val="000000" w:themeColor="text1"/>
          <w:sz w:val="32"/>
          <w:szCs w:val="32"/>
          <w:highlight w:val="none"/>
          <w14:textFill>
            <w14:solidFill>
              <w14:schemeClr w14:val="tx1"/>
            </w14:solidFill>
          </w14:textFill>
        </w:rPr>
        <w:t>第三节 深化农村综合改革</w:t>
      </w:r>
      <w:bookmarkEnd w:id="143"/>
      <w:bookmarkEnd w:id="144"/>
      <w:bookmarkEnd w:id="145"/>
      <w:bookmarkEnd w:id="146"/>
      <w:bookmarkEnd w:id="147"/>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一、深化农村综合改革</w:t>
      </w:r>
    </w:p>
    <w:p>
      <w:pPr>
        <w:snapToGrid/>
        <w:spacing w:before="0" w:beforeAutospacing="0" w:after="0" w:afterAutospacing="0" w:line="600" w:lineRule="exact"/>
        <w:ind w:firstLine="640" w:firstLineChars="200"/>
        <w:jc w:val="both"/>
        <w:textAlignment w:val="baseline"/>
        <w:rPr>
          <w:rFonts w:ascii="仿宋_GB2312" w:hAnsi="Calibri" w:eastAsia="仿宋_GB2312" w:cs="仿宋_GB2312"/>
          <w:b w:val="0"/>
          <w:i w:val="0"/>
          <w:caps w:val="0"/>
          <w:color w:val="000000" w:themeColor="text1"/>
          <w:spacing w:val="0"/>
          <w:w w:val="100"/>
          <w:kern w:val="0"/>
          <w:sz w:val="32"/>
          <w:szCs w:val="32"/>
          <w:highlight w:val="none"/>
          <w:u w:val="none" w:color="auto"/>
          <w:lang w:bidi="ar"/>
          <w14:textFill>
            <w14:solidFill>
              <w14:schemeClr w14:val="tx1"/>
            </w14:solidFill>
          </w14:textFill>
        </w:rPr>
      </w:pPr>
      <w:r>
        <w:rPr>
          <w:rFonts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推动</w:t>
      </w:r>
      <w:r>
        <w:rPr>
          <w:rFonts w:hint="eastAsia"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w:t>
      </w:r>
      <w:r>
        <w:rPr>
          <w:rFonts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5+2</w:t>
      </w:r>
      <w:r>
        <w:rPr>
          <w:rFonts w:hint="eastAsia" w:eastAsia="仿宋_GB2312"/>
          <w:b w:val="0"/>
          <w:i w:val="0"/>
          <w:caps w:val="0"/>
          <w:color w:val="000000" w:themeColor="text1"/>
          <w:spacing w:val="0"/>
          <w:w w:val="100"/>
          <w:sz w:val="32"/>
          <w:szCs w:val="32"/>
          <w:highlight w:val="none"/>
          <w:u w:val="none" w:color="auto"/>
          <w:lang w:bidi="ar"/>
          <w14:textFill>
            <w14:solidFill>
              <w14:schemeClr w14:val="tx1"/>
            </w14:solidFill>
          </w14:textFill>
        </w:rPr>
        <w:t>”</w:t>
      </w:r>
      <w:r>
        <w:rPr>
          <w:rFonts w:hint="eastAsia" w:eastAsia="仿宋_GB2312"/>
          <w:b w:val="0"/>
          <w:i w:val="0"/>
          <w:caps w:val="0"/>
          <w:color w:val="000000" w:themeColor="text1"/>
          <w:spacing w:val="0"/>
          <w:w w:val="100"/>
          <w:sz w:val="32"/>
          <w:szCs w:val="32"/>
          <w:highlight w:val="none"/>
          <w:u w:val="none" w:color="auto"/>
          <w:lang w:val="en-US" w:eastAsia="zh-CN" w:bidi="ar"/>
          <w14:textFill>
            <w14:solidFill>
              <w14:schemeClr w14:val="tx1"/>
            </w14:solidFill>
          </w14:textFill>
        </w:rPr>
        <w:t>农村</w:t>
      </w:r>
      <w:r>
        <w:rPr>
          <w:rFonts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综合改革</w:t>
      </w:r>
      <w:r>
        <w:rPr>
          <w:rFonts w:hint="eastAsia"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，全面推进“新地改”“新权改”“新金改”“新户改”“新经改”</w:t>
      </w:r>
      <w:r>
        <w:rPr>
          <w:rFonts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。深化乡镇机构改革，</w:t>
      </w:r>
      <w:r>
        <w:rPr>
          <w:rFonts w:ascii="仿宋_GB2312" w:hAnsi="Calibri" w:eastAsia="仿宋_GB2312" w:cs="仿宋_GB2312"/>
          <w:b w:val="0"/>
          <w:i w:val="0"/>
          <w:caps w:val="0"/>
          <w:color w:val="000000" w:themeColor="text1"/>
          <w:spacing w:val="0"/>
          <w:w w:val="100"/>
          <w:kern w:val="0"/>
          <w:sz w:val="32"/>
          <w:szCs w:val="32"/>
          <w:highlight w:val="none"/>
          <w:u w:val="none" w:color="auto"/>
          <w:lang w:bidi="ar"/>
          <w14:textFill>
            <w14:solidFill>
              <w14:schemeClr w14:val="tx1"/>
            </w14:solidFill>
          </w14:textFill>
        </w:rPr>
        <w:t>巩固农村集体产权制度改革成果，做好农村</w:t>
      </w:r>
      <w:r>
        <w:rPr>
          <w:rFonts w:hint="eastAsia" w:ascii="仿宋_GB2312" w:eastAsia="仿宋_GB2312" w:cs="仿宋_GB2312"/>
          <w:b w:val="0"/>
          <w:i w:val="0"/>
          <w:caps w:val="0"/>
          <w:color w:val="000000" w:themeColor="text1"/>
          <w:spacing w:val="0"/>
          <w:w w:val="100"/>
          <w:kern w:val="0"/>
          <w:sz w:val="32"/>
          <w:szCs w:val="32"/>
          <w:highlight w:val="none"/>
          <w:u w:val="none" w:color="auto"/>
          <w:lang w:bidi="ar"/>
          <w14:textFill>
            <w14:solidFill>
              <w14:schemeClr w14:val="tx1"/>
            </w14:solidFill>
          </w14:textFill>
        </w:rPr>
        <w:t>“</w:t>
      </w:r>
      <w:r>
        <w:rPr>
          <w:rFonts w:ascii="仿宋_GB2312" w:hAnsi="Calibri" w:eastAsia="仿宋_GB2312" w:cs="仿宋_GB2312"/>
          <w:b w:val="0"/>
          <w:i w:val="0"/>
          <w:caps w:val="0"/>
          <w:color w:val="000000" w:themeColor="text1"/>
          <w:spacing w:val="0"/>
          <w:w w:val="100"/>
          <w:kern w:val="0"/>
          <w:sz w:val="32"/>
          <w:szCs w:val="32"/>
          <w:highlight w:val="none"/>
          <w:u w:val="none" w:color="auto"/>
          <w:lang w:bidi="ar"/>
          <w14:textFill>
            <w14:solidFill>
              <w14:schemeClr w14:val="tx1"/>
            </w14:solidFill>
          </w14:textFill>
        </w:rPr>
        <w:t>三块地</w:t>
      </w:r>
      <w:r>
        <w:rPr>
          <w:rFonts w:hint="eastAsia" w:eastAsia="仿宋_GB2312" w:cs="Calibri"/>
          <w:b w:val="0"/>
          <w:i w:val="0"/>
          <w:caps w:val="0"/>
          <w:color w:val="000000" w:themeColor="text1"/>
          <w:spacing w:val="0"/>
          <w:w w:val="100"/>
          <w:kern w:val="0"/>
          <w:sz w:val="32"/>
          <w:szCs w:val="32"/>
          <w:highlight w:val="none"/>
          <w:u w:val="none" w:color="auto"/>
          <w:lang w:bidi="ar"/>
          <w14:textFill>
            <w14:solidFill>
              <w14:schemeClr w14:val="tx1"/>
            </w14:solidFill>
          </w14:textFill>
        </w:rPr>
        <w:t>”</w:t>
      </w:r>
      <w:r>
        <w:rPr>
          <w:rFonts w:ascii="仿宋_GB2312" w:hAnsi="Calibri" w:eastAsia="仿宋_GB2312" w:cs="仿宋_GB2312"/>
          <w:b w:val="0"/>
          <w:i w:val="0"/>
          <w:caps w:val="0"/>
          <w:color w:val="000000" w:themeColor="text1"/>
          <w:spacing w:val="0"/>
          <w:w w:val="100"/>
          <w:kern w:val="0"/>
          <w:sz w:val="32"/>
          <w:szCs w:val="32"/>
          <w:highlight w:val="none"/>
          <w:u w:val="none" w:color="auto"/>
          <w:lang w:bidi="ar"/>
          <w14:textFill>
            <w14:solidFill>
              <w14:schemeClr w14:val="tx1"/>
            </w14:solidFill>
          </w14:textFill>
        </w:rPr>
        <w:t>改革文章，深入推进</w:t>
      </w:r>
      <w:r>
        <w:rPr>
          <w:rFonts w:hint="eastAsia" w:eastAsia="仿宋_GB2312" w:cs="Calibri"/>
          <w:b w:val="0"/>
          <w:i w:val="0"/>
          <w:caps w:val="0"/>
          <w:color w:val="000000" w:themeColor="text1"/>
          <w:spacing w:val="0"/>
          <w:w w:val="100"/>
          <w:kern w:val="0"/>
          <w:sz w:val="32"/>
          <w:szCs w:val="32"/>
          <w:highlight w:val="none"/>
          <w:u w:val="none" w:color="auto"/>
          <w:lang w:bidi="ar"/>
          <w14:textFill>
            <w14:solidFill>
              <w14:schemeClr w14:val="tx1"/>
            </w14:solidFill>
          </w14:textFill>
        </w:rPr>
        <w:t>“</w:t>
      </w:r>
      <w:r>
        <w:rPr>
          <w:rFonts w:ascii="仿宋_GB2312" w:hAnsi="Calibri" w:eastAsia="仿宋_GB2312" w:cs="仿宋_GB2312"/>
          <w:b w:val="0"/>
          <w:i w:val="0"/>
          <w:caps w:val="0"/>
          <w:color w:val="000000" w:themeColor="text1"/>
          <w:spacing w:val="0"/>
          <w:w w:val="100"/>
          <w:kern w:val="0"/>
          <w:sz w:val="32"/>
          <w:szCs w:val="32"/>
          <w:highlight w:val="none"/>
          <w:u w:val="none" w:color="auto"/>
          <w:lang w:bidi="ar"/>
          <w14:textFill>
            <w14:solidFill>
              <w14:schemeClr w14:val="tx1"/>
            </w14:solidFill>
          </w14:textFill>
        </w:rPr>
        <w:t>三变</w:t>
      </w:r>
      <w:r>
        <w:rPr>
          <w:rFonts w:hint="eastAsia" w:eastAsia="仿宋_GB2312" w:cs="Calibri"/>
          <w:b w:val="0"/>
          <w:i w:val="0"/>
          <w:caps w:val="0"/>
          <w:color w:val="000000" w:themeColor="text1"/>
          <w:spacing w:val="0"/>
          <w:w w:val="100"/>
          <w:kern w:val="0"/>
          <w:sz w:val="32"/>
          <w:szCs w:val="32"/>
          <w:highlight w:val="none"/>
          <w:u w:val="none" w:color="auto"/>
          <w:lang w:bidi="ar"/>
          <w14:textFill>
            <w14:solidFill>
              <w14:schemeClr w14:val="tx1"/>
            </w14:solidFill>
          </w14:textFill>
        </w:rPr>
        <w:t>”</w:t>
      </w:r>
      <w:r>
        <w:rPr>
          <w:rFonts w:ascii="仿宋_GB2312" w:hAnsi="Calibri" w:eastAsia="仿宋_GB2312" w:cs="仿宋_GB2312"/>
          <w:b w:val="0"/>
          <w:i w:val="0"/>
          <w:caps w:val="0"/>
          <w:color w:val="000000" w:themeColor="text1"/>
          <w:spacing w:val="0"/>
          <w:w w:val="100"/>
          <w:kern w:val="0"/>
          <w:sz w:val="32"/>
          <w:szCs w:val="32"/>
          <w:highlight w:val="none"/>
          <w:u w:val="none" w:color="auto"/>
          <w:lang w:bidi="ar"/>
          <w14:textFill>
            <w14:solidFill>
              <w14:schemeClr w14:val="tx1"/>
            </w14:solidFill>
          </w14:textFill>
        </w:rPr>
        <w:t>改革（</w:t>
      </w:r>
      <w:r>
        <w:rPr>
          <w:rFonts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资源变资产、资金变股金、农民变股东</w:t>
      </w:r>
      <w:r>
        <w:rPr>
          <w:rFonts w:ascii="仿宋_GB2312" w:hAnsi="Calibri" w:eastAsia="仿宋_GB2312" w:cs="仿宋_GB2312"/>
          <w:b w:val="0"/>
          <w:i w:val="0"/>
          <w:caps w:val="0"/>
          <w:color w:val="000000" w:themeColor="text1"/>
          <w:spacing w:val="0"/>
          <w:w w:val="100"/>
          <w:kern w:val="0"/>
          <w:sz w:val="32"/>
          <w:szCs w:val="32"/>
          <w:highlight w:val="none"/>
          <w:u w:val="none" w:color="auto"/>
          <w:lang w:bidi="ar"/>
          <w14:textFill>
            <w14:solidFill>
              <w14:schemeClr w14:val="tx1"/>
            </w14:solidFill>
          </w14:textFill>
        </w:rPr>
        <w:t>），培育壮大村级集体经济。</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kern w:val="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kern w:val="0"/>
          <w:sz w:val="32"/>
          <w:szCs w:val="32"/>
          <w:highlight w:val="none"/>
          <w:u w:val="none" w:color="auto"/>
          <w14:textFill>
            <w14:solidFill>
              <w14:schemeClr w14:val="tx1"/>
            </w14:solidFill>
          </w14:textFill>
        </w:rPr>
        <w:t>——坚持和完善农村基本经营制度。</w:t>
      </w:r>
      <w:r>
        <w:rPr>
          <w:rFonts w:hint="eastAsia" w:ascii="仿宋_GB2312" w:hAnsi="仿宋_GB2312" w:eastAsia="仿宋_GB2312" w:cs="仿宋_GB2312"/>
          <w:b w:val="0"/>
          <w:bCs/>
          <w:i w:val="0"/>
          <w:caps w:val="0"/>
          <w:color w:val="000000" w:themeColor="text1"/>
          <w:spacing w:val="0"/>
          <w:w w:val="100"/>
          <w:sz w:val="32"/>
          <w:szCs w:val="32"/>
          <w:highlight w:val="none"/>
          <w:u w:val="none" w:color="auto"/>
          <w14:textFill>
            <w14:solidFill>
              <w14:schemeClr w14:val="tx1"/>
            </w14:solidFill>
          </w14:textFill>
        </w:rPr>
        <w:t>大力推进“新土改”工作，推动农村承包土地经营权有序流转，收集发布农村各类产权流转交易信息，结合打击霸占集体资产资源专项行动，全面推进不规范农村集体经济合同清理工作。制订出台</w:t>
      </w:r>
      <w:r>
        <w:rPr>
          <w:rFonts w:hint="eastAsia" w:ascii="仿宋_GB2312" w:hAnsi="仿宋_GB2312" w:eastAsia="仿宋_GB2312" w:cs="仿宋_GB2312"/>
          <w:b w:val="0"/>
          <w:i w:val="0"/>
          <w:caps w:val="0"/>
          <w:color w:val="000000" w:themeColor="text1"/>
          <w:spacing w:val="0"/>
          <w:w w:val="100"/>
          <w:kern w:val="0"/>
          <w:sz w:val="32"/>
          <w:szCs w:val="32"/>
          <w:highlight w:val="none"/>
          <w:u w:val="none" w:color="auto"/>
          <w14:textFill>
            <w14:solidFill>
              <w14:schemeClr w14:val="tx1"/>
            </w14:solidFill>
          </w14:textFill>
        </w:rPr>
        <w:t>《陆丰市推进农村承包土地经营权流转工作方案》《</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陆丰市耕地撂荒复耕工作实施方案</w:t>
      </w:r>
      <w:r>
        <w:rPr>
          <w:rFonts w:hint="eastAsia" w:ascii="仿宋_GB2312" w:hAnsi="仿宋_GB2312" w:eastAsia="仿宋_GB2312" w:cs="仿宋_GB2312"/>
          <w:b w:val="0"/>
          <w:i w:val="0"/>
          <w:caps w:val="0"/>
          <w:color w:val="000000" w:themeColor="text1"/>
          <w:spacing w:val="0"/>
          <w:w w:val="100"/>
          <w:kern w:val="0"/>
          <w:sz w:val="32"/>
          <w:szCs w:val="32"/>
          <w:highlight w:val="none"/>
          <w:u w:val="none" w:color="auto"/>
          <w14:textFill>
            <w14:solidFill>
              <w14:schemeClr w14:val="tx1"/>
            </w14:solidFill>
          </w14:textFill>
        </w:rPr>
        <w:t>》</w:t>
      </w:r>
      <w:r>
        <w:rPr>
          <w:rFonts w:hint="eastAsia" w:ascii="仿宋_GB2312" w:hAnsi="仿宋_GB2312" w:eastAsia="仿宋_GB2312" w:cs="仿宋_GB2312"/>
          <w:b w:val="0"/>
          <w:bCs/>
          <w:i w:val="0"/>
          <w:caps w:val="0"/>
          <w:color w:val="000000" w:themeColor="text1"/>
          <w:spacing w:val="0"/>
          <w:w w:val="100"/>
          <w:sz w:val="32"/>
          <w:szCs w:val="32"/>
          <w:highlight w:val="none"/>
          <w:u w:val="none" w:color="auto"/>
          <w14:textFill>
            <w14:solidFill>
              <w14:schemeClr w14:val="tx1"/>
            </w14:solidFill>
          </w14:textFill>
        </w:rPr>
        <w:t>，支持新型经营主体承接，全面推动农村承包土地经营权规范有序流转。加强宅基地管理，在保护非遗古村落、红色革命旧址等基础上，积极鼓励农村集体经济组织对农村旧住宅、废弃宅</w:t>
      </w:r>
      <w:r>
        <w:rPr>
          <w:rFonts w:hint="eastAsia" w:ascii="仿宋_GB2312" w:hAnsi="仿宋_GB2312" w:eastAsia="仿宋_GB2312" w:cs="仿宋_GB2312"/>
          <w:b w:val="0"/>
          <w:i w:val="0"/>
          <w:caps w:val="0"/>
          <w:color w:val="000000" w:themeColor="text1"/>
          <w:spacing w:val="0"/>
          <w:w w:val="100"/>
          <w:kern w:val="0"/>
          <w:sz w:val="32"/>
          <w:szCs w:val="32"/>
          <w:highlight w:val="none"/>
          <w:u w:val="none" w:color="auto"/>
          <w14:textFill>
            <w14:solidFill>
              <w14:schemeClr w14:val="tx1"/>
            </w14:solidFill>
          </w14:textFill>
        </w:rPr>
        <w:t>基地、空心村等闲置建设用地拆旧复垦，支持农村以合法的宅基地使用权及农房财产权入股组建农民专业合作社。到2025年，全市基本实现股份合作制改革，基本建立符合市场经济要求的集体经济运行新机制，增强集体经济发展活力。</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kern w:val="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kern w:val="0"/>
          <w:sz w:val="32"/>
          <w:szCs w:val="32"/>
          <w:highlight w:val="none"/>
          <w:u w:val="none" w:color="auto"/>
          <w14:textFill>
            <w14:solidFill>
              <w14:schemeClr w14:val="tx1"/>
            </w14:solidFill>
          </w14:textFill>
        </w:rPr>
        <w:t>——着力推进“三块地”改革。</w:t>
      </w:r>
      <w:r>
        <w:rPr>
          <w:rFonts w:hint="eastAsia" w:ascii="仿宋_GB2312" w:hAnsi="仿宋_GB2312" w:eastAsia="仿宋_GB2312" w:cs="仿宋_GB2312"/>
          <w:b w:val="0"/>
          <w:i w:val="0"/>
          <w:caps w:val="0"/>
          <w:color w:val="000000" w:themeColor="text1"/>
          <w:spacing w:val="0"/>
          <w:w w:val="100"/>
          <w:kern w:val="0"/>
          <w:sz w:val="32"/>
          <w:szCs w:val="32"/>
          <w:highlight w:val="none"/>
          <w:u w:val="none" w:color="auto"/>
          <w14:textFill>
            <w14:solidFill>
              <w14:schemeClr w14:val="tx1"/>
            </w14:solidFill>
          </w14:textFill>
        </w:rPr>
        <w:t>健全城乡统一的建设用地市场，积极探索实施农村集体经营性建设用地入市制度。探索闲置农房和闲置宅基地盘活利用与乡村产业有效衔接机制，建立宅基地使用权流转市场和信息平台，赋予宅基地使用权抵押融资功能，完善宅基地使用权抵押制度；以点带面推进全市农村宅基地管理制度规范化，探索宅基地所有权、资格权、使用权分置实现形式。保障进城落户农民土地承包权、宅基地使用权、集体收益分配权，鼓励依法自愿有偿转让。深化农村金融改革，健全农村金融服务体系，为农业农村发展提供强有力的支撑。</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二、推进农村集体经济高质量发展</w:t>
      </w:r>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kern w:val="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kern w:val="0"/>
          <w:sz w:val="32"/>
          <w:szCs w:val="32"/>
          <w:highlight w:val="none"/>
          <w:u w:val="none" w:color="auto"/>
          <w14:textFill>
            <w14:solidFill>
              <w14:schemeClr w14:val="tx1"/>
            </w14:solidFill>
          </w14:textFill>
        </w:rPr>
        <w:t>创新举措促进农村承包土地经营权连片有序规范流转，解决农村承包土地细碎化和撂荒问题，推行农村土地股份合作社试点、农村承包土地经营权作价入股发展农业产业化经营试点和多模式土地托管服务，实行适度规模经营，发展乡村特色精品农业，提高耕地效益。加强示范引领和政策支持，推动农民合作社、家庭农场等新型农业经营主体高质量发展，全面提高农民合作社、家庭农场规范化水平和市场竞争力，健全农业专业化社会化服务体系，发展多种形式适度规模经营，实现小农户和现代农业有机衔接。推进扶持村级集体经济试点工作，创新高质量发展壮大农村集体经济形式，多途径增加集体经济可支配收入，努力实现村组两级集体经济总量不断扩大、发展质量不断提高。至2025年，全面消除农村集体经济薄弱村。</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48" w:name="_Toc58320412"/>
      <w:bookmarkStart w:id="149" w:name="_Toc22709"/>
      <w:bookmarkStart w:id="150" w:name="_Toc24825"/>
      <w:bookmarkStart w:id="151" w:name="_Toc22554"/>
      <w:bookmarkStart w:id="152" w:name="_Toc7741"/>
      <w:r>
        <w:rPr>
          <w:rFonts w:hint="eastAsia" w:ascii="黑体" w:hAnsi="黑体" w:eastAsia="黑体" w:cs="仿宋"/>
          <w:color w:val="000000" w:themeColor="text1"/>
          <w:sz w:val="32"/>
          <w:szCs w:val="32"/>
          <w:highlight w:val="none"/>
          <w14:textFill>
            <w14:solidFill>
              <w14:schemeClr w14:val="tx1"/>
            </w14:solidFill>
          </w14:textFill>
        </w:rPr>
        <w:t>第四节 推动城乡融合发展，补齐农村公共服务短板</w:t>
      </w:r>
      <w:bookmarkEnd w:id="148"/>
      <w:bookmarkEnd w:id="149"/>
      <w:bookmarkEnd w:id="150"/>
      <w:bookmarkEnd w:id="151"/>
      <w:bookmarkEnd w:id="152"/>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——健全城乡基本公共服务均等化机制。</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借助深圳罗湖区对口帮扶机制，加快补齐农村公共服务短板，推动民生事业帮扶建设。结合城乡人口分布和流动趋势，合理配置教育、医疗、公共文化等资源，补齐软基建，加快谋划建设一批医疗卫生、物资保障、农产品批发等领域项目。</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——优先发展农村教育事业。</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建立以城带乡、整体推进、城乡一体、均衡发展的义务教育发展机制，</w:t>
      </w:r>
      <w:r>
        <w:rPr>
          <w:rFonts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统筹推进基础教育、职业教育协调发展</w:t>
      </w:r>
      <w:r>
        <w:rPr>
          <w:rFonts w:hint="eastAsia" w:asci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。全面改善薄弱学校基本办学条件，加强寄宿制学校建设，完善学前教育，推进普及高中阶段教育，加强职业教育，使绝大多数农村新增劳动力接受高中阶段教育、更多接受高等教育，重点</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推进</w:t>
      </w:r>
      <w:r>
        <w:rPr>
          <w:rFonts w:hint="eastAsia" w:ascii="仿宋_GB2312" w:hAnsi="仿宋_GB2312" w:eastAsia="仿宋_GB2312" w:cs="仿宋_GB2312"/>
          <w:b w:val="0"/>
          <w:i w:val="0"/>
          <w:caps w:val="0"/>
          <w:color w:val="000000" w:themeColor="text1"/>
          <w:spacing w:val="0"/>
          <w:w w:val="100"/>
          <w:sz w:val="32"/>
          <w:szCs w:val="32"/>
          <w:highlight w:val="none"/>
          <w:u w:val="none" w:color="auto"/>
          <w:shd w:val="clear" w:color="auto" w:fill="FFFFFF"/>
          <w14:textFill>
            <w14:solidFill>
              <w14:schemeClr w14:val="tx1"/>
            </w14:solidFill>
          </w14:textFill>
        </w:rPr>
        <w:t>陆丰市乡镇公立幼儿园补短板</w:t>
      </w:r>
      <w:r>
        <w:rPr>
          <w:rFonts w:ascii="仿宋_GB2312" w:hAnsi="仿宋_GB2312" w:eastAsia="仿宋_GB2312" w:cs="仿宋_GB2312"/>
          <w:b w:val="0"/>
          <w:i w:val="0"/>
          <w:caps w:val="0"/>
          <w:color w:val="000000" w:themeColor="text1"/>
          <w:spacing w:val="0"/>
          <w:w w:val="100"/>
          <w:sz w:val="32"/>
          <w:szCs w:val="32"/>
          <w:highlight w:val="none"/>
          <w:u w:val="none" w:color="auto"/>
          <w:shd w:val="clear" w:color="auto" w:fill="FFFFFF"/>
          <w14:textFill>
            <w14:solidFill>
              <w14:schemeClr w14:val="tx1"/>
            </w14:solidFill>
          </w14:textFill>
        </w:rPr>
        <w:t>、</w:t>
      </w:r>
      <w:r>
        <w:rPr>
          <w:rFonts w:asci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龙山中学二期</w:t>
      </w:r>
      <w:r>
        <w:rPr>
          <w:rFonts w:hint="eastAsia" w:ascii="仿宋_GB2312" w:eastAsia="仿宋_GB2312" w:cs="仿宋_GB2312"/>
          <w:b w:val="0"/>
          <w:i w:val="0"/>
          <w:caps w:val="0"/>
          <w:color w:val="000000" w:themeColor="text1"/>
          <w:spacing w:val="0"/>
          <w:w w:val="100"/>
          <w:sz w:val="32"/>
          <w:szCs w:val="32"/>
          <w:highlight w:val="none"/>
          <w:u w:val="none" w:color="auto"/>
          <w:shd w:val="clear" w:color="auto" w:fill="FFFFFF"/>
          <w:lang w:eastAsia="zh-CN" w:bidi="ar"/>
          <w14:textFill>
            <w14:solidFill>
              <w14:schemeClr w14:val="tx1"/>
            </w14:solidFill>
          </w14:textFill>
        </w:rPr>
        <w:t>二标</w:t>
      </w:r>
      <w:r>
        <w:rPr>
          <w:rFonts w:asci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、市职业技术学校、市第二职业技术学校、</w:t>
      </w:r>
      <w:r>
        <w:rPr>
          <w:rFonts w:hint="eastAsia" w:asci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市林启恩纪念中学现代化综合大楼及学校配套设施提质升级工程</w:t>
      </w:r>
      <w:r>
        <w:rPr>
          <w:rFonts w:asci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等项目建设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shd w:val="clear" w:color="auto" w:fill="FFFFFF"/>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统筹配置城乡师资，建立教师长效补充机制，实行中小学校教师“</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市</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管校聘”、</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市</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内校长教师交流轮岗，实现优质教育资源城乡共享，推行“校车进村”。通过信息化手段推动教育改革，提升教师水平，促进教学质量提高。</w:t>
      </w:r>
    </w:p>
    <w:p>
      <w:pPr>
        <w:pStyle w:val="10"/>
        <w:snapToGrid/>
        <w:spacing w:before="0" w:beforeAutospacing="0" w:after="120" w:afterAutospacing="0" w:line="240" w:lineRule="auto"/>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——提升农村医疗卫生服务水平。</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开展“五医联动”改革，积极推进全市医联体建设，加快改善乡镇卫生院和村卫生站医疗设施条件，突出抓好市中医医院、市疾病预防控制中心、市人民医院传染病区、市第四人民医院（陆丰市精神病院）、市人民医院颐养园附属医院</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市医疗卫生整体配套提升项目等医疗建设项目。全面建立分级诊疗制度，实行差别化医保支付政策。推动基层医务人员职称评定和工资待遇与基层服务贡献挂钩。完善城乡居民基本医疗保险、大病保险和基本养老保险制度，做好医疗救助工作。</w:t>
      </w:r>
    </w:p>
    <w:p>
      <w:pPr>
        <w:pStyle w:val="10"/>
        <w:snapToGrid/>
        <w:spacing w:before="0" w:beforeAutospacing="0" w:after="0" w:afterAutospacing="0" w:line="240" w:lineRule="auto"/>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——健全农村留守儿童和妇女、老年人关爱服务体系。</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加强就业创业指导，提升农村留守妇女就业创业能力，为农村留守妇女创业发展搭建平台、提供服务，提供更多就业岗位，实现农村留守妇女就近就地就业。加强精神关爱，加强基层公共体育设施和场所建设，积极开展适宜儿童、妇女及老年人的文化体育活动，丰富精神文化生活。加强权益维护，保障妇女儿童和老年人合法权益，深入开展维权宣传教育，加大对他们的法律知识普及和法律援助。加强养老服务，重点推进陆丰市颐养园项目建设，加强农村社会福利服务中心建设和改造，力争有条件镇（场、区）至少建有一家居家养老服务机构，并逐年提高村（社区）养老服务设施覆盖率。全面实施特困人员救助供养制度，健全最低生活保障标准和特困人员供养标准动态调整机制，分年度分步骤实施特困人员供养服务设施（敬老院）改造提升工程。</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——加快农业转移人口市民化。</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全力深化改革扩大开放,全面放开户口迁移政策,持续推进户籍制度改革,统筹推进城乡一体融合发展，建立健全有利于城乡要素合理配置的体制机制，加快农业转移人口市民化。加大户籍制度改革力度，进一步简化落户手续，全面放宽落户条件，推进居住证制度全覆盖，保障居住证附加的公共服务和便利项目，实现居住证持有者在公共服务上与城镇居民同等待遇。统筹基本公共服务资金向吸纳农业转移人口较多地区倾斜，加快实现常住人口基本公共服务全覆盖。在安排城镇新增建设用地指标时，充分考虑农业转移人口落户数量和常住人口变化权重。</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53" w:name="_Toc19731"/>
      <w:bookmarkStart w:id="154" w:name="_Toc16838"/>
      <w:bookmarkStart w:id="155" w:name="_Toc21790"/>
      <w:r>
        <w:rPr>
          <w:rFonts w:hint="eastAsia" w:ascii="黑体" w:hAnsi="黑体" w:eastAsia="黑体" w:cs="仿宋"/>
          <w:color w:val="000000" w:themeColor="text1"/>
          <w:sz w:val="32"/>
          <w:szCs w:val="32"/>
          <w:highlight w:val="none"/>
          <w14:textFill>
            <w14:solidFill>
              <w14:schemeClr w14:val="tx1"/>
            </w14:solidFill>
          </w14:textFill>
        </w:rPr>
        <w:t>第五节 打造都市型现代精品农业</w:t>
      </w:r>
      <w:bookmarkEnd w:id="153"/>
      <w:bookmarkEnd w:id="154"/>
      <w:bookmarkEnd w:id="155"/>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一、培育汕尾特色现代农业产业体系</w:t>
      </w:r>
    </w:p>
    <w:p>
      <w:pPr>
        <w:snapToGrid/>
        <w:spacing w:before="0" w:beforeAutospacing="0" w:after="0" w:afterAutospacing="0" w:line="600" w:lineRule="exact"/>
        <w:ind w:firstLine="643" w:firstLineChars="200"/>
        <w:jc w:val="both"/>
        <w:textAlignment w:val="baseline"/>
        <w:rPr>
          <w:rFonts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cs="Arial"/>
          <w:b/>
          <w:bCs/>
          <w:i w:val="0"/>
          <w:caps w:val="0"/>
          <w:color w:val="000000" w:themeColor="text1"/>
          <w:spacing w:val="0"/>
          <w:w w:val="100"/>
          <w:sz w:val="32"/>
          <w:szCs w:val="32"/>
          <w:highlight w:val="none"/>
          <w:u w:val="none" w:color="auto"/>
          <w14:textFill>
            <w14:solidFill>
              <w14:schemeClr w14:val="tx1"/>
            </w14:solidFill>
          </w14:textFill>
        </w:rPr>
        <w:t>——坚持最严格的耕地保护制度。</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突出特色优势主导产业，进一步调整优化农业生产结构和区域布局，培育现代农业产业体系。深入实施藏粮于地、藏粮于技战略，加大农业水利设施建设力度。加强市域粮食生产功能区和特色农产品优势区建设实施高标准农田建设，强化农业科技和装备支撑，提高农业良种化水平，健全动物防疫和农作物病虫害防治体系，建设智慧农业。</w:t>
      </w:r>
    </w:p>
    <w:p>
      <w:pPr>
        <w:snapToGrid/>
        <w:spacing w:before="0" w:beforeAutospacing="0" w:after="0" w:afterAutospacing="0" w:line="600" w:lineRule="exact"/>
        <w:ind w:firstLine="643" w:firstLineChars="200"/>
        <w:jc w:val="both"/>
        <w:textAlignment w:val="baseline"/>
        <w:rPr>
          <w:rFonts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cs="Arial"/>
          <w:b/>
          <w:bCs/>
          <w:i w:val="0"/>
          <w:caps w:val="0"/>
          <w:color w:val="000000" w:themeColor="text1"/>
          <w:spacing w:val="0"/>
          <w:w w:val="100"/>
          <w:sz w:val="32"/>
          <w:szCs w:val="32"/>
          <w:highlight w:val="none"/>
          <w:u w:val="none" w:color="auto"/>
          <w14:textFill>
            <w14:solidFill>
              <w14:schemeClr w14:val="tx1"/>
            </w14:solidFill>
          </w14:textFill>
        </w:rPr>
        <w:t>——提升农业产业化水平。</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进一步加大招商引资工作力度，引进农业龙头企业，通过企业带动，将陂洋菠萝，</w:t>
      </w:r>
      <w:r>
        <w:rPr>
          <w:rFonts w:hint="eastAsia" w:ascii="仿宋" w:hAnsi="仿宋" w:eastAsia="仿宋_GB2312" w:cs="Arial"/>
          <w:b w:val="0"/>
          <w:i w:val="0"/>
          <w:caps w:val="0"/>
          <w:color w:val="000000" w:themeColor="text1"/>
          <w:spacing w:val="0"/>
          <w:w w:val="100"/>
          <w:sz w:val="32"/>
          <w:szCs w:val="32"/>
          <w:highlight w:val="none"/>
          <w:u w:val="none" w:color="auto"/>
          <w:lang w:val="en-US" w:eastAsia="zh-CN"/>
          <w14:textFill>
            <w14:solidFill>
              <w14:schemeClr w14:val="tx1"/>
            </w14:solidFill>
          </w14:textFill>
        </w:rPr>
        <w:t>荔枝</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 xml:space="preserve">等当地特色产业做大做强，培养建设无公害农产品基地，打造现代农业产业园，实现农业生产规模化、区域化和专业化。  </w:t>
      </w:r>
    </w:p>
    <w:tbl>
      <w:tblPr>
        <w:tblStyle w:val="26"/>
        <w:tblW w:w="83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3" w:type="dxa"/>
          </w:tcPr>
          <w:p>
            <w:pPr>
              <w:pStyle w:val="14"/>
              <w:snapToGrid/>
              <w:spacing w:before="0" w:beforeAutospacing="0" w:after="0" w:afterAutospacing="0" w:line="480" w:lineRule="auto"/>
              <w:ind w:left="0" w:leftChars="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专栏8-2：打造市域“五大特色农业功能区”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3" w:type="dxa"/>
          </w:tcPr>
          <w:p>
            <w:pPr>
              <w:snapToGrid w:val="0"/>
              <w:spacing w:before="0" w:beforeAutospacing="0" w:after="0" w:afterAutospacing="0" w:line="400" w:lineRule="exact"/>
              <w:ind w:firstLine="562" w:firstLineChars="200"/>
              <w:jc w:val="left"/>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1.北部优质水果生产区：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陂洋镇、八万镇、大安镇、大安林场和西南镇为主体，以菠萝种植示范基地为基础，在北部山区形成水果种植区。</w:t>
            </w:r>
          </w:p>
          <w:p>
            <w:pPr>
              <w:snapToGrid w:val="0"/>
              <w:spacing w:before="0" w:beforeAutospacing="0" w:after="0" w:afterAutospacing="0" w:line="400" w:lineRule="exact"/>
              <w:ind w:firstLine="562" w:firstLineChars="200"/>
              <w:jc w:val="left"/>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2.中部特色精品农产品区：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以南塘镇北部、铜锣湖农场和内湖镇为主体，以优质花生</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芝麻</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标准化生产示范基地为基础，打造特色精品农产品区。</w:t>
            </w:r>
          </w:p>
          <w:p>
            <w:pPr>
              <w:snapToGrid w:val="0"/>
              <w:spacing w:before="0" w:beforeAutospacing="0" w:after="0" w:afterAutospacing="0" w:line="400" w:lineRule="exact"/>
              <w:ind w:firstLine="562" w:firstLineChars="200"/>
              <w:jc w:val="left"/>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3.中部农业科技示范区：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以</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博美</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镇、城东镇、河东镇等为主体、以萝卜标准化种植示范基地为基础，形成农业科技示范区。</w:t>
            </w:r>
          </w:p>
          <w:p>
            <w:pPr>
              <w:snapToGrid w:val="0"/>
              <w:spacing w:before="0" w:beforeAutospacing="0" w:after="0" w:afterAutospacing="0" w:line="400" w:lineRule="exact"/>
              <w:ind w:firstLine="562" w:firstLineChars="200"/>
              <w:jc w:val="left"/>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4.东南及西部现代粮食产业区：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以潭西镇、上英镇等为主体，打造高标准水稻生产示范基地、番薯生产示范基地。</w:t>
            </w:r>
          </w:p>
          <w:p>
            <w:pPr>
              <w:snapToGrid w:val="0"/>
              <w:spacing w:before="0" w:beforeAutospacing="0" w:after="0" w:afterAutospacing="0" w:line="400" w:lineRule="exact"/>
              <w:ind w:firstLine="562" w:firstLineChars="200"/>
              <w:jc w:val="left"/>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5.东南、西部现代粮食产业区：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主要在三甲地区、南塘镇及湖东镇，形成淮山种植基地和蔬菜种植基地。</w:t>
            </w:r>
          </w:p>
        </w:tc>
      </w:tr>
    </w:tbl>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——大力发展现代种业。</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高度重视种子作为农业“芯片”的战略地位，全力支持种业市场化、产业化发展，加强科技创新和技术攻关，进一步引导金融资本、社会资本投资现代种业，强化关键环节、关键领域、关键品种保障能力，提升种业产业链现代化水平。培育有核心竞争力的产业主体，着力打造航母型领军企业、特色优势企业、专业化平台企业等，支持企业发挥竞争优势和强大作用，建设五指毛桃、冬种马铃薯、水稻、玉米、甘薯、萝卜等具有陆丰特色的现代种子、种苗基地，保障粮食安全，推动现代种业发展。补齐种业产业链短板，加大对重要育种材料、关键仪器、核心技术软件、检验检测平台等领域的投入力度，持续加大种业研发创新、加强生物育种技术应用和加快优质品种商业化推广进程，重点推进陆丰省级工程技术研究中心以及农产品检测实验室建设，依托龙头公司栽培及植物保护技术优势、蚕沙改土陆丰工程、萝卜甘薯良种繁育基地、农残检测中心、商品化预包装保鲜处理，构成农产品从种子到消费者手中全程的技术支持；加快建成甘薯脱毒种苗研究中心，大力发展适合当地自产自销的脱毒种苗，推动现代种业数字化、网络化、智能化、绿色化发展。</w:t>
      </w:r>
    </w:p>
    <w:p>
      <w:pPr>
        <w:pStyle w:val="6"/>
        <w:snapToGrid/>
        <w:spacing w:before="0" w:beforeAutospacing="0" w:after="0" w:afterAutospacing="0" w:line="600" w:lineRule="exact"/>
        <w:ind w:firstLine="643" w:firstLineChars="200"/>
        <w:jc w:val="both"/>
        <w:textAlignment w:val="baseline"/>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cs="Arial"/>
          <w:b/>
          <w:bCs/>
          <w:i w:val="0"/>
          <w:caps w:val="0"/>
          <w:color w:val="000000" w:themeColor="text1"/>
          <w:spacing w:val="0"/>
          <w:w w:val="100"/>
          <w:sz w:val="32"/>
          <w:szCs w:val="32"/>
          <w:highlight w:val="none"/>
          <w:u w:val="none" w:color="auto"/>
          <w14:textFill>
            <w14:solidFill>
              <w14:schemeClr w14:val="tx1"/>
            </w14:solidFill>
          </w14:textFill>
        </w:rPr>
        <w:t>——结合特色文化资源，发展</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观光体验型农业</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及</w:t>
      </w:r>
      <w:r>
        <w:rPr>
          <w:rFonts w:hint="eastAsia" w:ascii="仿宋" w:hAnsi="仿宋" w:eastAsia="仿宋_GB2312" w:cs="Arial"/>
          <w:b/>
          <w:bCs/>
          <w:i w:val="0"/>
          <w:caps w:val="0"/>
          <w:color w:val="000000" w:themeColor="text1"/>
          <w:spacing w:val="0"/>
          <w:w w:val="100"/>
          <w:sz w:val="32"/>
          <w:szCs w:val="32"/>
          <w:highlight w:val="none"/>
          <w:u w:val="none" w:color="auto"/>
          <w14:textFill>
            <w14:solidFill>
              <w14:schemeClr w14:val="tx1"/>
            </w14:solidFill>
          </w14:textFill>
        </w:rPr>
        <w:t>乡村旅游。</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充分发挥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优质山海特色优势，依托已有的农业景观资源和农业生产条件，探索发展农业生产体验、乡村旅游、休闲观光农业、森林康养、文化创意和田园综合体等集观光、休闲和旅游为一体的新型农业生产经营形态。</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挖掘整合红色资源，打造红色旅游精品线路和沿海靓丽景点，完善金厢湾、碣石湾、陂洋芹洋等地旅游基础设施建设，打造滨海旅游示范点，推动农旅结合、休闲观光等景点建设，串珠成链，形成“点、线、面”美丽经济带，辐射带动全市农村产业提质增效发展。打造集聚特色产业的创新创业生态基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重点打造植物龙生态农业科技园-桥头村-湖坑村-角洋村现代农业示范段，布局生产体验、观光采摘、农业嘉年华、亲子互动等农业与休闲相融合的现代服务业，培育发展一批兼具生产观光、农事体验、教育科普、娱乐休闲、度假养生等功能的休闲农业综合体。开发建设城东特色观光农业基地（高美茶、竹笋等）项目，打造粤东特色农业观光体验基地。以农业生产和农业休闲为核心产业，构建包含支持产业、配套产业和衍生产业的综合产业链，发展支持农产品研发、加工、推介和促销企业，配套餐饮、酒吧、星级酒店，衍生发展特色农产品与文化创意相结合的产业集群，打造强大的陆丰现代都市休闲农业产业典范。</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2021年创建2-3个</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农业创新创业孵化基地典型项目，打造碣石万亩产业数字农业基地，形成示范带动效应。充分考虑乡村新产业新业态用地需求，实施点状供地和“农业+”混合供地。</w:t>
      </w:r>
    </w:p>
    <w:p>
      <w:pPr>
        <w:pStyle w:val="6"/>
        <w:snapToGrid/>
        <w:spacing w:before="0" w:beforeAutospacing="0" w:after="0" w:afterAutospacing="0" w:line="600" w:lineRule="exact"/>
        <w:ind w:firstLine="640" w:firstLineChars="200"/>
        <w:jc w:val="both"/>
        <w:textAlignment w:val="baseline"/>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pPr>
    </w:p>
    <w:tbl>
      <w:tblPr>
        <w:tblStyle w:val="26"/>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snapToGrid/>
              <w:spacing w:before="0" w:beforeAutospacing="0" w:after="0" w:afterAutospacing="0" w:line="5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专栏8-3 “十四五”时期田园综合体重点项目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snapToGrid/>
              <w:spacing w:before="0" w:beforeAutospacing="0" w:after="0" w:afterAutospacing="0" w:line="5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1.陂洋镇田园综合体：</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采用(村民+农业专业合作社+企业)村民参与，企业投资，合作共赢的经营模式。全力打造乡村观光旅游，农业科普教育，科技农业，推动乡情文化传播，展示民俗传统文化，集约节约建设用地，集中安置村民居住，改善村民居住环境。</w:t>
            </w:r>
          </w:p>
          <w:p>
            <w:pPr>
              <w:snapToGrid/>
              <w:spacing w:before="0" w:beforeAutospacing="0" w:after="0" w:afterAutospacing="0" w:line="5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2.河西镇田园综合体：</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通过引进企业实施规模种植等方式，对湖口、汾河、香校、竹林、卧龙等村撂荒地进行流转，以“一镇一业”，打造特色农业。</w:t>
            </w:r>
          </w:p>
          <w:p>
            <w:pPr>
              <w:snapToGrid/>
              <w:spacing w:before="0" w:beforeAutospacing="0" w:after="0" w:afterAutospacing="0" w:line="5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3.上英镇田园综合体：</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笏底、钱广等村积极探索开设：草莓园、蔬菜园、民宿等，吸引过客、 城市人群消费下乡，浮头村用活用足老区政策，计划以红色教育+游玩乐园为建设主题，推进田园综合体建设。</w:t>
            </w:r>
          </w:p>
        </w:tc>
      </w:tr>
    </w:tbl>
    <w:p>
      <w:pPr>
        <w:pStyle w:val="2"/>
        <w:snapToGrid/>
        <w:spacing w:before="0" w:beforeAutospacing="0" w:after="0" w:afterAutospacing="0" w:line="240" w:lineRule="auto"/>
        <w:ind w:firstLine="0" w:firstLineChars="0"/>
        <w:jc w:val="both"/>
        <w:textAlignment w:val="baseline"/>
        <w:rPr>
          <w:rFonts w:ascii="Calibri" w:hAnsi="Calibri"/>
          <w:b w:val="0"/>
          <w:i w:val="0"/>
          <w:caps w:val="0"/>
          <w:color w:val="000000" w:themeColor="text1"/>
          <w:spacing w:val="0"/>
          <w:w w:val="100"/>
          <w:sz w:val="21"/>
          <w:highlight w:val="none"/>
          <w:u w:val="none" w:color="auto"/>
          <w14:textFill>
            <w14:solidFill>
              <w14:schemeClr w14:val="tx1"/>
            </w14:solidFill>
          </w14:textFill>
        </w:rPr>
      </w:pP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二、大力培育农业新型经营主体，构建利益联结机制</w:t>
      </w:r>
    </w:p>
    <w:p>
      <w:pPr>
        <w:snapToGrid/>
        <w:spacing w:before="0" w:beforeAutospacing="0" w:after="0" w:afterAutospacing="0" w:line="360" w:lineRule="auto"/>
        <w:ind w:firstLine="640" w:firstLineChars="200"/>
        <w:jc w:val="both"/>
        <w:textAlignment w:val="baseline"/>
        <w:rPr>
          <w:rFonts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培育各类新型经营主体，拓展农民增收空间。动员大学生、复退军人、农民工等返乡创办新型农业经营主体。强化政策激励，大力引进和培育农业龙头企业、农民专业合作社和家庭农场等新型经营主体，</w:t>
      </w:r>
      <w:r>
        <w:rPr>
          <w:rFonts w:hint="eastAsia" w:ascii="仿宋" w:hAnsi="仿宋" w:eastAsia="仿宋_GB2312" w:cs="Arial"/>
          <w:b w:val="0"/>
          <w:i w:val="0"/>
          <w:caps w:val="0"/>
          <w:color w:val="000000" w:themeColor="text1"/>
          <w:spacing w:val="0"/>
          <w:w w:val="100"/>
          <w:sz w:val="32"/>
          <w:szCs w:val="32"/>
          <w:highlight w:val="none"/>
          <w:u w:val="none" w:color="auto"/>
          <w:lang w:val="en-US" w:eastAsia="zh-CN"/>
          <w14:textFill>
            <w14:solidFill>
              <w14:schemeClr w14:val="tx1"/>
            </w14:solidFill>
          </w14:textFill>
        </w:rPr>
        <w:t>通过</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土地流转发展规模经营，</w:t>
      </w:r>
      <w:r>
        <w:rPr>
          <w:rFonts w:hint="eastAsia" w:ascii="仿宋" w:hAnsi="仿宋" w:eastAsia="仿宋_GB2312" w:cs="Arial"/>
          <w:b w:val="0"/>
          <w:i w:val="0"/>
          <w:caps w:val="0"/>
          <w:color w:val="000000" w:themeColor="text1"/>
          <w:spacing w:val="0"/>
          <w:w w:val="100"/>
          <w:sz w:val="32"/>
          <w:szCs w:val="32"/>
          <w:highlight w:val="none"/>
          <w:u w:val="none" w:color="auto"/>
          <w:lang w:val="en-US" w:eastAsia="zh-CN"/>
          <w14:textFill>
            <w14:solidFill>
              <w14:schemeClr w14:val="tx1"/>
            </w14:solidFill>
          </w14:textFill>
        </w:rPr>
        <w:t>并积极</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推进农业产业化发展。积极推动“龙头企业+合作社+农户”“龙头企业+基地+农户”等多种经营模式，完善新型经营主体与小农户的利益联结机制，解决好小生产与大市场之间的矛盾，拓宽农产品销售渠道，提高种养效益。</w:t>
      </w:r>
    </w:p>
    <w:p>
      <w:pPr>
        <w:widowControl/>
        <w:snapToGrid w:val="0"/>
        <w:spacing w:before="0" w:beforeAutospacing="0" w:after="0" w:afterAutospacing="0" w:line="600" w:lineRule="exact"/>
        <w:ind w:firstLine="643" w:firstLineChars="200"/>
        <w:jc w:val="both"/>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三、全力创建现代农业产业园，强化重大平台建设</w:t>
      </w:r>
    </w:p>
    <w:p>
      <w:pPr>
        <w:snapToGrid/>
        <w:spacing w:before="0" w:beforeAutospacing="0" w:after="0" w:afterAutospacing="0" w:line="360" w:lineRule="auto"/>
        <w:ind w:firstLine="643" w:firstLineChars="200"/>
        <w:jc w:val="both"/>
        <w:textAlignment w:val="baseline"/>
        <w:rPr>
          <w:rFonts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cs="Arial"/>
          <w:b/>
          <w:bCs/>
          <w:i w:val="0"/>
          <w:caps w:val="0"/>
          <w:color w:val="000000" w:themeColor="text1"/>
          <w:spacing w:val="0"/>
          <w:w w:val="100"/>
          <w:sz w:val="32"/>
          <w:szCs w:val="32"/>
          <w:highlight w:val="none"/>
          <w:u w:val="none" w:color="auto"/>
          <w14:textFill>
            <w14:solidFill>
              <w14:schemeClr w14:val="tx1"/>
            </w14:solidFill>
          </w14:textFill>
        </w:rPr>
        <w:t>——着力提升全市2个省级现代农业产业园发展水平。</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以全产业链为重点，推进萝卜和甘薯省级现代农业产业园建设。新增</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2个以上省级现代农业产业园（含优势产区和特色产业园），6</w:t>
      </w:r>
      <w:r>
        <w:rPr>
          <w:rFonts w:hint="eastAsia" w:ascii="仿宋" w:hAnsi="仿宋" w:eastAsia="仿宋_GB2312" w:cs="Arial"/>
          <w:b w:val="0"/>
          <w:i w:val="0"/>
          <w:caps w:val="0"/>
          <w:color w:val="000000" w:themeColor="text1"/>
          <w:spacing w:val="0"/>
          <w:w w:val="100"/>
          <w:sz w:val="32"/>
          <w:szCs w:val="32"/>
          <w:highlight w:val="none"/>
          <w:u w:val="none" w:color="auto"/>
          <w14:textFill>
            <w14:solidFill>
              <w14:schemeClr w14:val="tx1"/>
            </w14:solidFill>
          </w14:textFill>
        </w:rPr>
        <w:t>个市级现代农业产业园，基本形成大米、甘薯、水产、萝卜、蔬菜、黄牛、岭南特色水果等一批具有区域显著优势的现代农业产业园。全力创国家级省级产业园。</w:t>
      </w:r>
    </w:p>
    <w:p>
      <w:pPr>
        <w:pStyle w:val="6"/>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强化现代化农业产业园生产配套设施，建设原料生产基地、物流配送、产品展示、市场营销体系，形成全产业链条的联动发展。加强园区信息化建设，利用互联网、大数据、人工智能等数字信息技术搭建全市农业产业园网络平台，提升信息公开与网上服务能力，促进各产业园区协调发展，连接生产与销售两大环节，扩大招商引资范围，推动传统农业实现区域化布局、专业化生产、一体化经营、企业化管理、社会化服务和市场化竞争的现代化发展。</w:t>
      </w:r>
    </w:p>
    <w:tbl>
      <w:tblPr>
        <w:tblStyle w:val="26"/>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snapToGrid/>
              <w:spacing w:before="0" w:beforeAutospacing="0" w:after="0" w:afterAutospacing="0" w:line="4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专栏8-4 “十四五”时期现代农业产业园布局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1.甘薯现代农业产业园：</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主要种植品质甘薯，打造“一核、一基地”的规划布局，即核心区和甘薯生产基地，在开发优势甘薯脱毒种苗的同时致力于开发甘薯下游产业，推动传统农业向生态全产业链农业升级，推进申报国家级现代农业产业园。</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2.萝卜现代农业产业园：</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主要种植品质萝卜，推进申报国家级现代农业产业园</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p>
          <w:p>
            <w:pPr>
              <w:pStyle w:val="14"/>
              <w:snapToGrid/>
              <w:spacing w:before="0" w:beforeAutospacing="0" w:after="0" w:afterAutospacing="0" w:line="400" w:lineRule="exact"/>
              <w:ind w:left="0" w:leftChars="0" w:firstLine="562" w:firstLineChars="200"/>
              <w:jc w:val="both"/>
              <w:textAlignment w:val="baseline"/>
              <w:rPr>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3.甲东镇生态农业产业园区：</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在联湖村、前边村、后洋村、东林村等东片辖区一带打造生态农业产业园区，引进农业产业公司和农业股份合作公司，改革农业产业经营模式，建设各类农产品加工厂，打造农产品产供销一条龙生产基地。</w:t>
            </w:r>
          </w:p>
        </w:tc>
      </w:tr>
    </w:tbl>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——建设一批标准化种</w:t>
      </w:r>
      <w:r>
        <w:rPr>
          <w:rFonts w:hint="eastAsia" w:ascii="仿宋_GB2312" w:eastAsia="仿宋_GB2312"/>
          <w:b/>
          <w:bCs/>
          <w:i w:val="0"/>
          <w:caps w:val="0"/>
          <w:color w:val="000000" w:themeColor="text1"/>
          <w:spacing w:val="0"/>
          <w:w w:val="100"/>
          <w:sz w:val="32"/>
          <w:szCs w:val="32"/>
          <w:highlight w:val="none"/>
          <w:u w:val="none" w:color="auto"/>
          <w:lang w:val="en-US" w:eastAsia="zh-CN"/>
          <w14:textFill>
            <w14:solidFill>
              <w14:schemeClr w14:val="tx1"/>
            </w14:solidFill>
          </w14:textFill>
        </w:rPr>
        <w:t>植</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eastAsia="仿宋_GB2312"/>
          <w:b/>
          <w:bCs/>
          <w:i w:val="0"/>
          <w:caps w:val="0"/>
          <w:color w:val="000000" w:themeColor="text1"/>
          <w:spacing w:val="0"/>
          <w:w w:val="100"/>
          <w:sz w:val="32"/>
          <w:szCs w:val="32"/>
          <w:highlight w:val="none"/>
          <w:u w:val="none" w:color="auto"/>
          <w:lang w:val="en-US" w:eastAsia="zh-CN"/>
          <w14:textFill>
            <w14:solidFill>
              <w14:schemeClr w14:val="tx1"/>
            </w14:solidFill>
          </w14:textFill>
        </w:rPr>
        <w:t>养殖）示</w:t>
      </w: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范基地。</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 xml:space="preserve">以基地化方式建设陆丰优势特色农业引领区，着力打造水稻、蔬果、水产、畜牧四大农业基地。依托涉农龙头企业、专业合作社等实施主体，建设一批标准化种植示范基地，推进城东镇现代化商品猪养殖产业基地、河西番薯种植基地、湖东蔬菜种植基地、城东万亩水产科技养殖基地（海鲈鱼）、黄牛现代化养殖基地、吉水白江牛大力中药材种植示范点等特色产品基地项目建设，培育和引进良种引进和改良繁育基地、良种改良及标准农业实验室、建设智能玻璃培育棚、购置标准农业生产技术研究室配套仪器等设备，建设科研机构及产品研发中心，聘请专家团队进驻，将农业基地打造为技术先进、现代设施装备配套加速应用的集成区。 </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napToGrid/>
              <w:spacing w:before="0" w:beforeAutospacing="0" w:after="0" w:afterAutospacing="0" w:line="4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专栏8-5 “十四五”时期农业基地布局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14"/>
              <w:snapToGrid/>
              <w:spacing w:before="0" w:beforeAutospacing="0" w:after="0" w:afterAutospacing="0" w:line="400" w:lineRule="exact"/>
              <w:ind w:left="0" w:leftChars="0"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val="en-US" w:eastAsia="zh-CN"/>
                <w14:textFill>
                  <w14:solidFill>
                    <w14:schemeClr w14:val="tx1"/>
                  </w14:solidFill>
                </w14:textFill>
              </w:rPr>
              <w:t>1.</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陆丰海洋经济种业产业园</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主要建设石斑鱼、金鲳鱼和国家级南美白对虾育种育苗基地及配套设施。</w:t>
            </w:r>
          </w:p>
          <w:p>
            <w:pPr>
              <w:pStyle w:val="14"/>
              <w:keepLines w:val="0"/>
              <w:snapToGrid/>
              <w:spacing w:before="0" w:beforeAutospacing="0" w:after="0" w:afterAutospacing="0" w:line="400" w:lineRule="exact"/>
              <w:ind w:left="0" w:leftChars="0" w:firstLine="562" w:firstLineChars="200"/>
              <w:jc w:val="both"/>
              <w:textAlignment w:val="baseline"/>
              <w:rPr>
                <w:rFonts w:hint="eastAsia"/>
                <w:b w:val="0"/>
                <w:i w:val="0"/>
                <w:caps w:val="0"/>
                <w:color w:val="000000" w:themeColor="text1"/>
                <w:spacing w:val="0"/>
                <w:w w:val="100"/>
                <w:kern w:val="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lang w:val="en-US" w:eastAsia="zh-CN"/>
                <w14:textFill>
                  <w14:solidFill>
                    <w14:schemeClr w14:val="tx1"/>
                  </w14:solidFill>
                </w14:textFill>
              </w:rPr>
              <w:t>2</w:t>
            </w:r>
            <w:r>
              <w:rPr>
                <w:rFonts w:hint="eastAsia" w:asciiTheme="minorEastAsia" w:hAnsiTheme="minorEastAsia" w:eastAsiaTheme="minorEastAsia" w:cstheme="minorEastAsia"/>
                <w:b/>
                <w:bCs/>
                <w:i w:val="0"/>
                <w:caps w:val="0"/>
                <w:color w:val="000000" w:themeColor="text1"/>
                <w:spacing w:val="0"/>
                <w:w w:val="100"/>
                <w:kern w:val="0"/>
                <w:sz w:val="28"/>
                <w:szCs w:val="28"/>
                <w:highlight w:val="none"/>
                <w:u w:val="none" w:color="auto"/>
                <w14:textFill>
                  <w14:solidFill>
                    <w14:schemeClr w14:val="tx1"/>
                  </w14:solidFill>
                </w14:textFill>
              </w:rPr>
              <w:t>.万亩（海鲈）水产科技养殖产业基地：</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合理利用和开发低值咸塭鱼塘，集成水产健康养殖新技术，新模式，逐步形成“种苗培育+水体养殖+车间加工+冷链运输+科技创新”的产业链，探索高产、优质、低耗、高效、环保、生态的健康养殖之路</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p>
        </w:tc>
      </w:tr>
    </w:tbl>
    <w:p>
      <w:pPr>
        <w:pStyle w:val="6"/>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——发展品牌型农业。</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以市场化模式打造陆丰优质农产品品牌。加快形成“一村一品”“一镇一业”“一县多园”特色农业发展格局，加大对“陆字号”农产品品牌宣传力度，优化品牌发展布局，突出地方资源、品质和功能特色。建立以涉农龙头企业为核心的产业化经营机制，加强对企业、农业合作组织、行业协会等品牌创建主体的培育，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现有</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龙头企业</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为带动，</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扶持和引进一批具有较强开发、加工及市场拓展能力的重点企业，引导企业积极引进国内外先进技术、工艺、设备和管理经验，提升农业企业的技术水平、管理水平和质量水平，做大做强大安蒜头、博美萝卜、陂洋菠萝、高美甜笋茶叶、甲东紫菜、甲西博社麒麟西瓜、乌石芝麻、上英广薯、潭西赤米、南塘花生、八万牛大力等各镇“名、优、特、新”农产品品牌。健全品牌服务体系，引导企业、合作组织、行业协会与农户建立稳定的产销关系，加强与销售平台合作，创新“直播+产业+电商”等模式，完善农产品营销服务网络，实现区域品牌、企业品牌、产品品牌融合。鼓励和支持涉农企业创建自身品牌，建立品牌建设与保护机制，打造以品牌价值为核心的新型农业。</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296" w:type="dxa"/>
          </w:tcPr>
          <w:p>
            <w:pPr>
              <w:snapToGrid/>
              <w:spacing w:before="0" w:beforeAutospacing="0" w:after="0" w:afterAutospacing="0" w:line="400" w:lineRule="exact"/>
              <w:jc w:val="center"/>
              <w:textAlignment w:val="baseline"/>
              <w:rPr>
                <w:b/>
                <w:bCs/>
                <w:i w:val="0"/>
                <w:caps w:val="0"/>
                <w:color w:val="000000" w:themeColor="text1"/>
                <w:spacing w:val="0"/>
                <w:w w:val="100"/>
                <w:kern w:val="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专栏8-6 陆丰特色农产品品牌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trPr>
        <w:tc>
          <w:tcPr>
            <w:tcW w:w="8296" w:type="dxa"/>
          </w:tcPr>
          <w:p>
            <w:pPr>
              <w:snapToGrid/>
              <w:spacing w:before="0" w:beforeAutospacing="0" w:after="0" w:afterAutospacing="0" w:line="400" w:lineRule="exact"/>
              <w:ind w:firstLine="560" w:firstLineChars="200"/>
              <w:jc w:val="both"/>
              <w:textAlignment w:val="baseline"/>
              <w:rPr>
                <w:rFonts w:hint="eastAsia"/>
                <w:b w:val="0"/>
                <w:i w:val="0"/>
                <w:caps w:val="0"/>
                <w:color w:val="000000" w:themeColor="text1"/>
                <w:spacing w:val="0"/>
                <w:w w:val="100"/>
                <w:kern w:val="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大安蒜头</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陂洋菠萝</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荔枝</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油柑</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龙眼</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val="en-US" w:eastAsia="zh-CN"/>
                <w14:textFill>
                  <w14:solidFill>
                    <w14:schemeClr w14:val="tx1"/>
                  </w14:solidFill>
                </w14:textFill>
              </w:rPr>
              <w:t>城东</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高美茶</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甜笋</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甲东紫菜</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val="en-US" w:eastAsia="zh-CN"/>
                <w14:textFill>
                  <w14:solidFill>
                    <w14:schemeClr w14:val="tx1"/>
                  </w14:solidFill>
                </w14:textFill>
              </w:rPr>
              <w:t>甲西</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博社麒麟西瓜</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上英水稻</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西洋南瓜</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河西茶叶</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西瓜</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红薯</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博美花生</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芝麻</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南塘冬种马铃薯</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芝麻</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花生</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萝卜</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内湖水稻</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玉米</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番薯</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荔枝</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菠萝</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上英腌鸭蛋</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西南红花</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吊梨</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14:textFill>
                  <w14:solidFill>
                    <w14:schemeClr w14:val="tx1"/>
                  </w14:solidFill>
                </w14:textFill>
              </w:rPr>
              <w:t>荔枝</w:t>
            </w:r>
            <w:r>
              <w:rPr>
                <w:rFonts w:hint="eastAsia" w:asciiTheme="minorEastAsia" w:hAnsiTheme="minorEastAsia" w:eastAsiaTheme="minorEastAsia" w:cstheme="minorEastAsia"/>
                <w:b w:val="0"/>
                <w:i w:val="0"/>
                <w:caps w:val="0"/>
                <w:color w:val="000000" w:themeColor="text1"/>
                <w:spacing w:val="0"/>
                <w:w w:val="100"/>
                <w:kern w:val="0"/>
                <w:sz w:val="28"/>
                <w:szCs w:val="28"/>
                <w:highlight w:val="none"/>
                <w:u w:val="none" w:color="auto"/>
                <w:lang w:eastAsia="zh-CN"/>
                <w14:textFill>
                  <w14:solidFill>
                    <w14:schemeClr w14:val="tx1"/>
                  </w14:solidFill>
                </w14:textFill>
              </w:rPr>
              <w:t>。</w:t>
            </w:r>
          </w:p>
        </w:tc>
      </w:tr>
    </w:tbl>
    <w:p>
      <w:pPr>
        <w:adjustRightInd w:val="0"/>
        <w:snapToGrid w:val="0"/>
        <w:spacing w:line="200" w:lineRule="exact"/>
        <w:jc w:val="both"/>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bookmarkStart w:id="156" w:name="_Toc24002"/>
      <w:bookmarkStart w:id="157" w:name="_Toc19530"/>
      <w:bookmarkStart w:id="158" w:name="_Toc19870"/>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pPr>
      <w:bookmarkStart w:id="159" w:name="_Toc20155"/>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第九章 统筹推进区域协调发展</w:t>
      </w:r>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，提升城市发展能级</w:t>
      </w:r>
      <w:bookmarkEnd w:id="156"/>
      <w:bookmarkEnd w:id="157"/>
      <w:bookmarkEnd w:id="158"/>
      <w:bookmarkEnd w:id="159"/>
    </w:p>
    <w:p>
      <w:pPr>
        <w:snapToGrid/>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kern w:val="0"/>
          <w:sz w:val="32"/>
          <w:szCs w:val="20"/>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kern w:val="0"/>
          <w:sz w:val="32"/>
          <w:szCs w:val="20"/>
          <w:highlight w:val="none"/>
          <w:u w:val="none" w:color="auto"/>
          <w14:textFill>
            <w14:solidFill>
              <w14:schemeClr w14:val="tx1"/>
            </w14:solidFill>
          </w14:textFill>
        </w:rPr>
        <w:t>根据全省“一核一带一区”功能布局和</w:t>
      </w:r>
      <w:r>
        <w:rPr>
          <w:rFonts w:hint="eastAsia" w:ascii="仿宋_GB2312" w:hAnsi="仿宋_GB2312" w:eastAsia="仿宋_GB2312" w:cs="仿宋_GB2312"/>
          <w:b w:val="0"/>
          <w:i w:val="0"/>
          <w:caps w:val="0"/>
          <w:color w:val="000000" w:themeColor="text1"/>
          <w:spacing w:val="0"/>
          <w:w w:val="100"/>
          <w:kern w:val="0"/>
          <w:sz w:val="32"/>
          <w:szCs w:val="20"/>
          <w:highlight w:val="none"/>
          <w:u w:val="none" w:color="auto"/>
          <w:lang w:val="en-US" w:eastAsia="zh-CN"/>
          <w14:textFill>
            <w14:solidFill>
              <w14:schemeClr w14:val="tx1"/>
            </w14:solidFill>
          </w14:textFill>
        </w:rPr>
        <w:t>我市</w:t>
      </w:r>
      <w:r>
        <w:rPr>
          <w:rFonts w:hint="eastAsia" w:ascii="仿宋_GB2312" w:hAnsi="仿宋_GB2312" w:eastAsia="仿宋_GB2312" w:cs="仿宋_GB2312"/>
          <w:b w:val="0"/>
          <w:i w:val="0"/>
          <w:caps w:val="0"/>
          <w:color w:val="000000" w:themeColor="text1"/>
          <w:spacing w:val="0"/>
          <w:w w:val="100"/>
          <w:kern w:val="0"/>
          <w:sz w:val="32"/>
          <w:szCs w:val="20"/>
          <w:highlight w:val="none"/>
          <w:u w:val="none" w:color="auto"/>
          <w14:textFill>
            <w14:solidFill>
              <w14:schemeClr w14:val="tx1"/>
            </w14:solidFill>
          </w14:textFill>
        </w:rPr>
        <w:t>西接“双区”东承“汕潮揭”都市圈区域新优势，优化布局</w:t>
      </w:r>
      <w:r>
        <w:rPr>
          <w:rFonts w:hint="eastAsia" w:ascii="仿宋_GB2312" w:hAnsi="仿宋_GB2312" w:eastAsia="仿宋_GB2312" w:cs="仿宋_GB2312"/>
          <w:b w:val="0"/>
          <w:i w:val="0"/>
          <w:caps w:val="0"/>
          <w:color w:val="000000" w:themeColor="text1"/>
          <w:spacing w:val="0"/>
          <w:w w:val="100"/>
          <w:kern w:val="0"/>
          <w:sz w:val="32"/>
          <w:szCs w:val="20"/>
          <w:highlight w:val="none"/>
          <w:u w:val="none" w:color="auto"/>
          <w:lang w:eastAsia="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kern w:val="0"/>
          <w:sz w:val="32"/>
          <w:szCs w:val="20"/>
          <w:highlight w:val="none"/>
          <w:u w:val="none" w:color="auto"/>
          <w14:textFill>
            <w14:solidFill>
              <w14:schemeClr w14:val="tx1"/>
            </w14:solidFill>
          </w14:textFill>
        </w:rPr>
        <w:t>形成“一核两区两带一廊”发展新格局。根据各镇主体功能实行差异化发展，推动县域高质量发展。提升中心城区发展能级，推动沿螺河形成“一河两岸”格局，提升中心城区首位度。推动碣石镇打造市域副中心，推动三甲地区协同一体化发展。</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60" w:name="_Toc30586"/>
      <w:bookmarkStart w:id="161" w:name="_Toc16679"/>
      <w:bookmarkStart w:id="162" w:name="_Toc19438"/>
      <w:bookmarkStart w:id="163" w:name="_Toc31729"/>
      <w:r>
        <w:rPr>
          <w:rFonts w:hint="eastAsia" w:ascii="黑体" w:hAnsi="黑体" w:eastAsia="黑体" w:cs="仿宋"/>
          <w:color w:val="000000" w:themeColor="text1"/>
          <w:sz w:val="32"/>
          <w:szCs w:val="32"/>
          <w:highlight w:val="none"/>
          <w14:textFill>
            <w14:solidFill>
              <w14:schemeClr w14:val="tx1"/>
            </w14:solidFill>
          </w14:textFill>
        </w:rPr>
        <w:t>第一节 构建“一核两区两带一廊”市域发展格局</w:t>
      </w:r>
      <w:bookmarkEnd w:id="160"/>
      <w:bookmarkEnd w:id="161"/>
      <w:bookmarkEnd w:id="162"/>
      <w:bookmarkEnd w:id="163"/>
    </w:p>
    <w:p>
      <w:pPr>
        <w:snapToGrid/>
        <w:spacing w:before="0" w:beforeAutospacing="0" w:after="0" w:afterAutospacing="0" w:line="600" w:lineRule="exact"/>
        <w:ind w:firstLine="640" w:firstLineChars="200"/>
        <w:jc w:val="both"/>
        <w:textAlignment w:val="baseline"/>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 xml:space="preserve">全面对标对表国家和省、汕尾市规划，科学划定生态保护红线、永久基本农田、城镇开发边界等空间管控边界，逐步形成城市化地区、农产品主产区、生态功能区三大空间，优化重大基础设施、重大生产力和公共资源布局，形成高质量发展的国土空间开发保护新格局。结合陆丰市域城镇空间分布特征、地方资源条件以及城镇空间发展的趋势要求，推动形成“一核两区两带一廊”的发展格局。 </w:t>
      </w:r>
    </w:p>
    <w:p>
      <w:pPr>
        <w:snapToGrid/>
        <w:spacing w:before="0" w:beforeAutospacing="0" w:after="0" w:afterAutospacing="0" w:line="600" w:lineRule="exact"/>
        <w:ind w:firstLine="643" w:firstLineChars="200"/>
        <w:jc w:val="both"/>
        <w:textAlignment w:val="baseline"/>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一核</w:t>
      </w:r>
      <w:r>
        <w:rPr>
          <w:rFonts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引领</w:t>
      </w:r>
      <w:r>
        <w:rPr>
          <w:rFonts w:hint="eastAsia" w:ascii="仿宋" w:hAnsi="仿宋" w:eastAsia="仿宋_GB2312"/>
          <w:b/>
          <w:bCs/>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_GB2312"/>
          <w:b w:val="0"/>
          <w:bCs w:val="0"/>
          <w:i w:val="0"/>
          <w:caps w:val="0"/>
          <w:color w:val="000000" w:themeColor="text1"/>
          <w:spacing w:val="0"/>
          <w:w w:val="100"/>
          <w:sz w:val="32"/>
          <w:szCs w:val="32"/>
          <w:highlight w:val="none"/>
          <w:u w:val="none" w:color="auto"/>
          <w:lang w:val="en-US" w:eastAsia="zh-CN"/>
          <w14:textFill>
            <w14:solidFill>
              <w14:schemeClr w14:val="tx1"/>
            </w14:solidFill>
          </w14:textFill>
        </w:rPr>
        <w:t>即</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陆丰市中心城区，主要包括东海、城东和河西及河东、金厢部分地区，打造全市的政治、经济和文化中心，同时也是</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 xml:space="preserve">交通、信息、技术和物流转运中心，依托于较为发达便捷的区域交通条件，形成聚合全市发展资源优势的城市发展极核，并发展成为汕尾市具备较强影响辐射力的副中心城市之一。 </w:t>
      </w:r>
    </w:p>
    <w:p>
      <w:pPr>
        <w:snapToGrid/>
        <w:spacing w:before="0" w:beforeAutospacing="0" w:after="0" w:afterAutospacing="0" w:line="590" w:lineRule="exact"/>
        <w:ind w:firstLine="643" w:firstLineChars="200"/>
        <w:jc w:val="both"/>
        <w:textAlignment w:val="baseline"/>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两区</w:t>
      </w:r>
      <w:r>
        <w:rPr>
          <w:rFonts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优化</w:t>
      </w:r>
      <w:r>
        <w:rPr>
          <w:rFonts w:hint="eastAsia" w:ascii="仿宋" w:hAnsi="仿宋" w:eastAsia="仿宋_GB2312"/>
          <w:b/>
          <w:bCs/>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包括南部滨海城镇发展区和北部生态维育与乡村振兴区。南部滨海城镇发展区自西向东涵盖核心发展组团、星都经济产业园、南塘-博美组团、碣石</w:t>
      </w:r>
      <w:r>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湖东组团、三甲组团及周边镇街，以沿海高速公路的连通为基础依托，结合现有的城镇发展的规模基础和特色优势，形成具有地方资源特色、产业发展优势和未来战略提升的城镇密集发展区域。北部生态维育与乡村振兴区，包括西南镇、红岭林场、大安镇、大安农场、畜牧果林场、八万镇、罗经嶂林场、陂洋镇，</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以</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现代农业及生态旅游业</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为主导功能</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 xml:space="preserve">，促进农业生产效能提升，生态环境保育和水源保护。 </w:t>
      </w:r>
    </w:p>
    <w:p>
      <w:pPr>
        <w:snapToGrid/>
        <w:spacing w:before="0" w:beforeAutospacing="0" w:after="0" w:afterAutospacing="0" w:line="590" w:lineRule="exact"/>
        <w:ind w:firstLine="643" w:firstLineChars="200"/>
        <w:jc w:val="both"/>
        <w:textAlignment w:val="baseline"/>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两带一廊</w:t>
      </w:r>
      <w:r>
        <w:rPr>
          <w:rFonts w:hint="eastAsia" w:ascii="仿宋" w:hAnsi="仿宋" w:eastAsia="仿宋_GB2312"/>
          <w:b/>
          <w:bCs/>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包括沿海经济发展带、广惠汕发展带和汕梅发展走廊。</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广惠汕发展带，</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以现有的深汕高速公路、324国道、厦深铁路以及未来建成通车的汕尾至汕头铁路为重要依托，形成陆丰市域范围内核心城镇生长与空间聚合轴。依托地区发展最为重要的区域交通走廊，引导和促进区域经济要素的流通和空间集聚。</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沿海经济发展带，</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结合滨海景观大道，沿岸形成陆丰市多个经济增长点，包括两大以工业、港口发展为核心的城镇组团（碣石</w:t>
      </w:r>
      <w:r>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湖东组团、三甲组团），积极培育滨水产业，打造蓝色经济，实现陆海联动，构筑陆丰市“黄金海岸”特色景观风貌与产业经济发展轴。</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汕梅发展走廊，</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以重要交通干线</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S240</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为依托，串联中心城区与北部西南及大安等重要城镇，并进一步向北延伸</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至</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 xml:space="preserve">陆河，促进北部生态经济发展，凸显依山傍海的特色城镇风貌。 </w:t>
      </w:r>
    </w:p>
    <w:p>
      <w:pPr>
        <w:pStyle w:val="10"/>
        <w:snapToGrid/>
        <w:spacing w:before="0" w:beforeAutospacing="0" w:after="120" w:afterAutospacing="0" w:line="240" w:lineRule="auto"/>
        <w:jc w:val="center"/>
        <w:textAlignment w:val="baseline"/>
        <w:rPr>
          <w:rFonts w:hint="eastAsia" w:ascii="Times New Roman" w:hAnsi="Times New Roman" w:eastAsia="宋体" w:cs="Times New Roman"/>
          <w:b w:val="0"/>
          <w:i w:val="0"/>
          <w:caps w:val="0"/>
          <w:color w:val="000000" w:themeColor="text1"/>
          <w:spacing w:val="0"/>
          <w:w w:val="100"/>
          <w:sz w:val="21"/>
          <w:highlight w:val="none"/>
          <w:u w:val="none" w:color="auto"/>
          <w:lang w:eastAsia="zh-CN"/>
          <w14:textFill>
            <w14:solidFill>
              <w14:schemeClr w14:val="tx1"/>
            </w14:solidFill>
          </w14:textFill>
        </w:rPr>
      </w:pPr>
      <w:r>
        <w:rPr>
          <w:rFonts w:hint="eastAsia" w:ascii="Times New Roman" w:hAnsi="Times New Roman" w:eastAsia="宋体" w:cs="Times New Roman"/>
          <w:b w:val="0"/>
          <w:i w:val="0"/>
          <w:caps w:val="0"/>
          <w:color w:val="000000" w:themeColor="text1"/>
          <w:spacing w:val="0"/>
          <w:w w:val="100"/>
          <w:sz w:val="21"/>
          <w:highlight w:val="none"/>
          <w:u w:val="none" w:color="auto"/>
          <w:lang w:eastAsia="zh-CN"/>
          <w14:textFill>
            <w14:solidFill>
              <w14:schemeClr w14:val="tx1"/>
            </w14:solidFill>
          </w14:textFill>
        </w:rPr>
        <w:drawing>
          <wp:inline distT="0" distB="0" distL="114300" distR="114300">
            <wp:extent cx="5158105" cy="3029585"/>
            <wp:effectExtent l="0" t="0" r="4445" b="18415"/>
            <wp:docPr id="1" name="图片 1" descr="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A"/>
                    <pic:cNvPicPr>
                      <a:picLocks noChangeAspect="1"/>
                    </pic:cNvPicPr>
                  </pic:nvPicPr>
                  <pic:blipFill>
                    <a:blip r:embed="rId13"/>
                    <a:stretch>
                      <a:fillRect/>
                    </a:stretch>
                  </pic:blipFill>
                  <pic:spPr>
                    <a:xfrm>
                      <a:off x="0" y="0"/>
                      <a:ext cx="5158105" cy="3029585"/>
                    </a:xfrm>
                    <a:prstGeom prst="rect">
                      <a:avLst/>
                    </a:prstGeom>
                  </pic:spPr>
                </pic:pic>
              </a:graphicData>
            </a:graphic>
          </wp:inline>
        </w:drawing>
      </w:r>
    </w:p>
    <w:p>
      <w:pPr>
        <w:pStyle w:val="7"/>
        <w:snapToGrid/>
        <w:spacing w:before="0" w:beforeAutospacing="0" w:after="0" w:afterAutospacing="0" w:line="240" w:lineRule="auto"/>
        <w:jc w:val="center"/>
        <w:textAlignment w:val="baseline"/>
        <w:rPr>
          <w:rFonts w:hint="eastAsia"/>
          <w:b w:val="0"/>
          <w:i w:val="0"/>
          <w:caps w:val="0"/>
          <w:color w:val="000000" w:themeColor="text1"/>
          <w:spacing w:val="0"/>
          <w:w w:val="100"/>
          <w:sz w:val="24"/>
          <w:szCs w:val="36"/>
          <w:highlight w:val="none"/>
          <w:u w:val="none" w:color="auto"/>
          <w14:textFill>
            <w14:solidFill>
              <w14:schemeClr w14:val="tx1"/>
            </w14:solidFill>
          </w14:textFill>
        </w:rPr>
      </w:pPr>
      <w:r>
        <w:rPr>
          <w:rFonts w:ascii="Arial" w:hAnsi="Arial" w:eastAsia="黑体"/>
          <w:b w:val="0"/>
          <w:i w:val="0"/>
          <w:caps w:val="0"/>
          <w:color w:val="000000" w:themeColor="text1"/>
          <w:spacing w:val="0"/>
          <w:w w:val="100"/>
          <w:sz w:val="24"/>
          <w:szCs w:val="36"/>
          <w:highlight w:val="none"/>
          <w:u w:val="none" w:color="auto"/>
          <w14:textFill>
            <w14:solidFill>
              <w14:schemeClr w14:val="tx1"/>
            </w14:solidFill>
          </w14:textFill>
        </w:rPr>
        <w:t>图</w:t>
      </w:r>
      <w:r>
        <w:rPr>
          <w:rFonts w:hint="eastAsia"/>
          <w:b w:val="0"/>
          <w:i w:val="0"/>
          <w:caps w:val="0"/>
          <w:color w:val="000000" w:themeColor="text1"/>
          <w:spacing w:val="0"/>
          <w:w w:val="100"/>
          <w:sz w:val="24"/>
          <w:szCs w:val="36"/>
          <w:highlight w:val="none"/>
          <w:u w:val="none" w:color="auto"/>
          <w14:textFill>
            <w14:solidFill>
              <w14:schemeClr w14:val="tx1"/>
            </w14:solidFill>
          </w14:textFill>
        </w:rPr>
        <w:t>9</w:t>
      </w:r>
      <w:r>
        <w:rPr>
          <w:rFonts w:ascii="Arial" w:hAnsi="Arial" w:eastAsia="黑体"/>
          <w:b w:val="0"/>
          <w:i w:val="0"/>
          <w:caps w:val="0"/>
          <w:color w:val="000000" w:themeColor="text1"/>
          <w:spacing w:val="0"/>
          <w:w w:val="100"/>
          <w:sz w:val="24"/>
          <w:szCs w:val="36"/>
          <w:highlight w:val="none"/>
          <w:u w:val="none" w:color="auto"/>
          <w14:textFill>
            <w14:solidFill>
              <w14:schemeClr w14:val="tx1"/>
            </w14:solidFill>
          </w14:textFill>
        </w:rPr>
        <w:t>-</w:t>
      </w:r>
      <w:r>
        <w:rPr>
          <w:b w:val="0"/>
          <w:i w:val="0"/>
          <w:caps w:val="0"/>
          <w:color w:val="000000" w:themeColor="text1"/>
          <w:spacing w:val="0"/>
          <w:w w:val="100"/>
          <w:sz w:val="20"/>
          <w:szCs w:val="36"/>
          <w:highlight w:val="none"/>
          <w:u w:val="none" w:color="auto"/>
          <w14:textFill>
            <w14:solidFill>
              <w14:schemeClr w14:val="tx1"/>
            </w14:solidFill>
          </w14:textFill>
        </w:rPr>
        <w:fldChar w:fldCharType="begin"/>
      </w:r>
      <w:r>
        <w:rPr>
          <w:b w:val="0"/>
          <w:i w:val="0"/>
          <w:caps w:val="0"/>
          <w:color w:val="000000" w:themeColor="text1"/>
          <w:spacing w:val="0"/>
          <w:w w:val="100"/>
          <w:sz w:val="20"/>
          <w:szCs w:val="36"/>
          <w:highlight w:val="none"/>
          <w:u w:val="none" w:color="auto"/>
          <w14:textFill>
            <w14:solidFill>
              <w14:schemeClr w14:val="tx1"/>
            </w14:solidFill>
          </w14:textFill>
        </w:rPr>
        <w:instrText xml:space="preserve"> SEQ 图7- \* ARABIC </w:instrText>
      </w:r>
      <w:r>
        <w:rPr>
          <w:b w:val="0"/>
          <w:i w:val="0"/>
          <w:caps w:val="0"/>
          <w:color w:val="000000" w:themeColor="text1"/>
          <w:spacing w:val="0"/>
          <w:w w:val="100"/>
          <w:sz w:val="20"/>
          <w:szCs w:val="36"/>
          <w:highlight w:val="none"/>
          <w:u w:val="none" w:color="auto"/>
          <w14:textFill>
            <w14:solidFill>
              <w14:schemeClr w14:val="tx1"/>
            </w14:solidFill>
          </w14:textFill>
        </w:rPr>
        <w:fldChar w:fldCharType="separate"/>
      </w:r>
      <w:r>
        <w:rPr>
          <w:rFonts w:ascii="Arial" w:hAnsi="Arial" w:eastAsia="黑体"/>
          <w:b w:val="0"/>
          <w:i w:val="0"/>
          <w:caps w:val="0"/>
          <w:color w:val="000000" w:themeColor="text1"/>
          <w:spacing w:val="0"/>
          <w:w w:val="100"/>
          <w:sz w:val="24"/>
          <w:szCs w:val="36"/>
          <w:highlight w:val="none"/>
          <w:u w:val="none" w:color="auto"/>
          <w14:textFill>
            <w14:solidFill>
              <w14:schemeClr w14:val="tx1"/>
            </w14:solidFill>
          </w14:textFill>
        </w:rPr>
        <w:t>1</w:t>
      </w:r>
      <w:r>
        <w:rPr>
          <w:b w:val="0"/>
          <w:i w:val="0"/>
          <w:caps w:val="0"/>
          <w:color w:val="000000" w:themeColor="text1"/>
          <w:spacing w:val="0"/>
          <w:w w:val="100"/>
          <w:sz w:val="20"/>
          <w:szCs w:val="36"/>
          <w:highlight w:val="none"/>
          <w:u w:val="none" w:color="auto"/>
          <w14:textFill>
            <w14:solidFill>
              <w14:schemeClr w14:val="tx1"/>
            </w14:solidFill>
          </w14:textFill>
        </w:rPr>
        <w:fldChar w:fldCharType="end"/>
      </w:r>
      <w:r>
        <w:rPr>
          <w:rFonts w:hint="eastAsia"/>
          <w:b w:val="0"/>
          <w:i w:val="0"/>
          <w:caps w:val="0"/>
          <w:color w:val="000000" w:themeColor="text1"/>
          <w:spacing w:val="0"/>
          <w:w w:val="100"/>
          <w:sz w:val="24"/>
          <w:szCs w:val="36"/>
          <w:highlight w:val="none"/>
          <w:u w:val="none" w:color="auto"/>
          <w14:textFill>
            <w14:solidFill>
              <w14:schemeClr w14:val="tx1"/>
            </w14:solidFill>
          </w14:textFill>
        </w:rPr>
        <w:t xml:space="preserve"> 市域“一核两区两带一廊”总体布局</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00" w:lineRule="exact"/>
              <w:ind w:left="0" w:leftChars="0"/>
              <w:jc w:val="center"/>
              <w:textAlignment w:val="baseline"/>
              <w:rPr>
                <w:rFonts w:ascii="宋体" w:hAnsi="宋体" w:eastAsia="宋体"/>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w:t>
            </w:r>
            <w:r>
              <w:rPr>
                <w:rFonts w:hint="default"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9-1</w:t>
            </w: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 xml:space="preserve"> 市域“一核两区两带一廊”发展布局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1.一核：</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陆丰市中心城区，主要包括东海、城东和河西及河东、金厢部分地区，打造全市的政治、经济和文化中心，</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2.两区：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大致以324国道为界，北部</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各</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镇以生态和农业为主要功能，共建北部生态经济区。324国道以南主要为工业、商贸、物流、滨海旅游等产业功能，共建南部沿海城镇密集区。</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北部生态维育与乡村振兴区：</w:t>
            </w:r>
          </w:p>
          <w:p>
            <w:pPr>
              <w:snapToGrid/>
              <w:spacing w:before="0" w:beforeAutospacing="0" w:after="0" w:afterAutospacing="0" w:line="400" w:lineRule="exact"/>
              <w:ind w:firstLine="560"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新农村示范片：西南镇、大安镇</w:t>
            </w:r>
          </w:p>
          <w:p>
            <w:pPr>
              <w:snapToGrid/>
              <w:spacing w:before="0" w:beforeAutospacing="0" w:after="0" w:afterAutospacing="0" w:line="400" w:lineRule="exact"/>
              <w:ind w:firstLine="560"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森林小镇：八万镇、陂洋镇</w:t>
            </w:r>
          </w:p>
          <w:p>
            <w:pPr>
              <w:snapToGrid/>
              <w:spacing w:before="0" w:beforeAutospacing="0" w:after="0" w:afterAutospacing="0" w:line="400" w:lineRule="exact"/>
              <w:ind w:firstLine="560"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现代农业、生态旅游：铜锣湖农场</w:t>
            </w:r>
          </w:p>
          <w:p>
            <w:pPr>
              <w:snapToGrid/>
              <w:spacing w:before="0" w:beforeAutospacing="0" w:after="0" w:afterAutospacing="0" w:line="400" w:lineRule="exact"/>
              <w:ind w:firstLine="560"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农产</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品</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加工、集散：博美镇、内湖镇</w:t>
            </w:r>
          </w:p>
          <w:p>
            <w:pPr>
              <w:widowControl/>
              <w:snapToGrid/>
              <w:spacing w:before="0" w:beforeAutospacing="0" w:after="0" w:afterAutospacing="0" w:line="400" w:lineRule="exact"/>
              <w:ind w:firstLine="562" w:firstLineChars="200"/>
              <w:jc w:val="left"/>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bidi="ar"/>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bidi="ar"/>
                <w14:textFill>
                  <w14:solidFill>
                    <w14:schemeClr w14:val="tx1"/>
                  </w14:solidFill>
                </w14:textFill>
              </w:rPr>
              <w:t>南部滨海城镇发展区：</w:t>
            </w:r>
          </w:p>
          <w:p>
            <w:pPr>
              <w:widowControl/>
              <w:snapToGrid/>
              <w:spacing w:before="0" w:beforeAutospacing="0" w:after="0" w:afterAutospacing="0" w:line="400" w:lineRule="exact"/>
              <w:ind w:firstLine="560" w:firstLineChars="200"/>
              <w:jc w:val="left"/>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 xml:space="preserve">汕尾高新区（星都片区）：节能环保、新材料、循环产业 </w:t>
            </w:r>
          </w:p>
          <w:p>
            <w:pPr>
              <w:widowControl/>
              <w:snapToGrid/>
              <w:spacing w:before="0" w:beforeAutospacing="0" w:after="0" w:afterAutospacing="0" w:line="400" w:lineRule="exact"/>
              <w:ind w:firstLine="560" w:firstLineChars="200"/>
              <w:jc w:val="left"/>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 xml:space="preserve">沿海旅游产业带：生态旅游、红色旅游、滨海旅游 </w:t>
            </w:r>
          </w:p>
          <w:p>
            <w:pPr>
              <w:snapToGrid/>
              <w:spacing w:before="0" w:beforeAutospacing="0" w:after="0" w:afterAutospacing="0" w:line="400" w:lineRule="exact"/>
              <w:ind w:firstLine="560"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bidi="ar"/>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bidi="ar"/>
                <w14:textFill>
                  <w14:solidFill>
                    <w14:schemeClr w14:val="tx1"/>
                  </w14:solidFill>
                </w14:textFill>
              </w:rPr>
              <w:t>能源装备产业带：陆丰核电站-海工基地、湖东临港产业园、三甲地区工业园区、大南海石化产业园汕尾东海岸石化基地</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bidi="ar"/>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ascii="宋体" w:hAnsi="宋体" w:eastAsia="宋体"/>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3.两带一廊：</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14:textFill>
                  <w14:solidFill>
                    <w14:schemeClr w14:val="tx1"/>
                  </w14:solidFill>
                </w14:textFill>
              </w:rPr>
              <w:t>沿海经济发展带、广惠汕发展带和汕梅发展走廊。</w:t>
            </w:r>
          </w:p>
        </w:tc>
      </w:tr>
    </w:tbl>
    <w:p>
      <w:pPr>
        <w:snapToGrid w:val="0"/>
        <w:spacing w:before="0" w:beforeAutospacing="0" w:after="0" w:afterAutospacing="0" w:line="600" w:lineRule="exact"/>
        <w:ind w:firstLine="643" w:firstLineChars="200"/>
        <w:jc w:val="both"/>
        <w:textAlignment w:val="baseline"/>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bookmarkStart w:id="164" w:name="_Toc29217"/>
      <w:bookmarkStart w:id="165" w:name="_Toc19992"/>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推动市域四大</w:t>
      </w:r>
      <w:r>
        <w:rPr>
          <w:rFonts w:hint="eastAsia" w:ascii="仿宋" w:hAnsi="仿宋" w:eastAsia="仿宋_GB2312"/>
          <w:b/>
          <w:bCs/>
          <w:i w:val="0"/>
          <w:caps w:val="0"/>
          <w:color w:val="000000" w:themeColor="text1"/>
          <w:spacing w:val="0"/>
          <w:w w:val="100"/>
          <w:sz w:val="32"/>
          <w:szCs w:val="32"/>
          <w:highlight w:val="none"/>
          <w:u w:val="none" w:color="auto"/>
          <w:lang w:val="en-US" w:eastAsia="zh-CN"/>
          <w14:textFill>
            <w14:solidFill>
              <w14:schemeClr w14:val="tx1"/>
            </w14:solidFill>
          </w14:textFill>
        </w:rPr>
        <w:t>发展</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组团建设。</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包括西部星都-潭西组团、中部碣石</w:t>
      </w:r>
      <w:r>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湖东组团、东部三甲组团、北部生态经济组团。</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西部星都</w:t>
      </w:r>
      <w:r>
        <w:rPr>
          <w:rFonts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潭西组团</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借助</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 xml:space="preserve">东海大道与 </w:t>
      </w:r>
      <w:r>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 xml:space="preserve">324 </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国道交汇于河西地区</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的交通区位优势以及城区</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向西拓展的趋势，</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加快</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星都经济开发区高速</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交通</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出入口</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建设</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，增</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强</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与海丰县可塘工业园的联系，在东海镇以西，以星都经济开发区为中心，辐射河西、潭西、上英等地区，形成以新型制造、产业服务、健康休闲、生态居住为主导职能的创新型产城融合发展示范区。</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中部碣石</w:t>
      </w:r>
      <w:r>
        <w:rPr>
          <w:rFonts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湖东组团</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作为市域南部的发展副中心，</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培育</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核电新能源产业、港口物流业、现代制造业及滨海旅游业，</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强化对</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周边南塘和桥冲等城镇</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的</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辐射带动作用。</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东部三甲组团</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依托甲子港，以原有的甲子镇为基础，联合甲东和甲西，重点发展五金塑料、家具配件等制造业及传统特色产业、现代渔业、滨海旅游业，承担次区域发展增长集聚和联结</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汕潮揭都市圈</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的枢纽作用。</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北部生态经济组团</w:t>
      </w:r>
      <w:r>
        <w:rPr>
          <w:rFonts w:hint="eastAsia" w:ascii="仿宋" w:hAnsi="仿宋" w:eastAsia="仿宋_GB2312"/>
          <w:b w:val="0"/>
          <w:bCs w:val="0"/>
          <w:i w:val="0"/>
          <w:caps w:val="0"/>
          <w:color w:val="000000" w:themeColor="text1"/>
          <w:spacing w:val="0"/>
          <w:w w:val="100"/>
          <w:sz w:val="32"/>
          <w:szCs w:val="32"/>
          <w:highlight w:val="none"/>
          <w:u w:val="none" w:color="auto"/>
          <w:lang w:val="en-US" w:eastAsia="zh-CN"/>
          <w14:textFill>
            <w14:solidFill>
              <w14:schemeClr w14:val="tx1"/>
            </w14:solidFill>
          </w14:textFill>
        </w:rPr>
        <w:t>依托</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博美、陂洋、八万、大安、西南等镇，</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借助</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地理优势及山地、林场等良好生态资源，在保护生态环境的前提下，适度发展生态产业与现代农业，逐步发展为汕尾市区域生态文明示范区。</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66" w:name="_Toc13656"/>
      <w:r>
        <w:rPr>
          <w:rFonts w:hint="eastAsia" w:ascii="黑体" w:hAnsi="黑体" w:eastAsia="黑体" w:cs="仿宋"/>
          <w:color w:val="000000" w:themeColor="text1"/>
          <w:sz w:val="32"/>
          <w:szCs w:val="32"/>
          <w:highlight w:val="none"/>
          <w14:textFill>
            <w14:solidFill>
              <w14:schemeClr w14:val="tx1"/>
            </w14:solidFill>
          </w14:textFill>
        </w:rPr>
        <w:t>第二节 加快老区振兴发展</w:t>
      </w:r>
      <w:bookmarkEnd w:id="164"/>
      <w:bookmarkEnd w:id="165"/>
      <w:bookmarkEnd w:id="166"/>
      <w:bookmarkStart w:id="167" w:name="_Toc9185"/>
    </w:p>
    <w:p>
      <w:pPr>
        <w:widowControl/>
        <w:snapToGrid/>
        <w:spacing w:before="0" w:beforeAutospacing="0" w:after="0" w:afterAutospacing="0" w:line="600" w:lineRule="exact"/>
        <w:ind w:firstLine="640" w:firstLineChars="200"/>
        <w:jc w:val="both"/>
        <w:textAlignment w:val="baseline"/>
        <w:rPr>
          <w:rFonts w:hint="eastAsia" w:ascii="仿宋_GB2312" w:hAnsi="仿宋" w:eastAsia="仿宋_GB2312"/>
          <w:b w:val="0"/>
          <w:i w:val="0"/>
          <w:caps w:val="0"/>
          <w:color w:val="000000" w:themeColor="text1"/>
          <w:spacing w:val="0"/>
          <w:w w:val="100"/>
          <w:kern w:val="0"/>
          <w:sz w:val="32"/>
          <w:szCs w:val="20"/>
          <w:highlight w:val="none"/>
          <w:u w:val="none" w:color="auto"/>
          <w:lang w:eastAsia="zh-CN"/>
          <w14:textFill>
            <w14:solidFill>
              <w14:schemeClr w14:val="tx1"/>
            </w14:solidFill>
          </w14:textFill>
        </w:rPr>
      </w:pPr>
      <w:r>
        <w:rPr>
          <w:rFonts w:hint="eastAsia" w:ascii="仿宋_GB2312" w:hAnsi="仿宋" w:eastAsia="仿宋_GB2312"/>
          <w:b w:val="0"/>
          <w:i w:val="0"/>
          <w:caps w:val="0"/>
          <w:color w:val="000000" w:themeColor="text1"/>
          <w:spacing w:val="0"/>
          <w:w w:val="100"/>
          <w:kern w:val="0"/>
          <w:sz w:val="32"/>
          <w:szCs w:val="20"/>
          <w:highlight w:val="none"/>
          <w:u w:val="none" w:color="auto"/>
          <w14:textFill>
            <w14:solidFill>
              <w14:schemeClr w14:val="tx1"/>
            </w14:solidFill>
          </w14:textFill>
        </w:rPr>
        <w:t>加快落实《关于进一步推动我省革命老区和原中央苏区振兴发展的意见》《海陆丰革命老区振兴发展规划》以及支持革命老区振兴发展的其他政策文件，用足用好政策红利。进一步争取国家、省加大政策帮扶力度，推动老区完善基础设施、发展产业、补齐民生短板，积极创建革命老区高质量发展示范区。深入落实省关于海陆丰革命老区振兴的财政、投资、产业、金融、土地、人才及试点政策、加强对革命遗址的保护、开发与利用。对符合评选标准的，加快申报爱国主义教育基地、国防教育基地、中共党史教育基地，打造一批示范基地。大力发展红色旅游，打造海陆丰红色革命文化核心区，将老区红色旅游景区列入全国红色旅游精品路线和全国重点红色旅游区景点</w:t>
      </w:r>
      <w:r>
        <w:rPr>
          <w:rFonts w:hint="eastAsia" w:ascii="仿宋_GB2312" w:hAnsi="仿宋" w:eastAsia="仿宋_GB2312"/>
          <w:b w:val="0"/>
          <w:i w:val="0"/>
          <w:caps w:val="0"/>
          <w:color w:val="000000" w:themeColor="text1"/>
          <w:spacing w:val="0"/>
          <w:w w:val="100"/>
          <w:kern w:val="0"/>
          <w:sz w:val="32"/>
          <w:szCs w:val="20"/>
          <w:highlight w:val="none"/>
          <w:u w:val="none" w:color="auto"/>
          <w:lang w:eastAsia="zh-CN"/>
          <w14:textFill>
            <w14:solidFill>
              <w14:schemeClr w14:val="tx1"/>
            </w14:solidFill>
          </w14:textFill>
        </w:rPr>
        <w:t>，</w:t>
      </w:r>
      <w:r>
        <w:rPr>
          <w:rFonts w:hint="eastAsia" w:ascii="仿宋_GB2312" w:hAnsi="仿宋" w:eastAsia="仿宋_GB2312"/>
          <w:b w:val="0"/>
          <w:i w:val="0"/>
          <w:caps w:val="0"/>
          <w:color w:val="000000" w:themeColor="text1"/>
          <w:spacing w:val="0"/>
          <w:w w:val="100"/>
          <w:kern w:val="0"/>
          <w:sz w:val="32"/>
          <w:szCs w:val="20"/>
          <w:highlight w:val="none"/>
          <w:u w:val="none" w:color="auto"/>
          <w:lang w:val="en-US" w:eastAsia="zh-CN"/>
          <w14:textFill>
            <w14:solidFill>
              <w14:schemeClr w14:val="tx1"/>
            </w14:solidFill>
          </w14:textFill>
        </w:rPr>
        <w:t>创建</w:t>
      </w:r>
      <w:r>
        <w:rPr>
          <w:rFonts w:hint="eastAsia" w:ascii="仿宋_GB2312" w:hAnsi="仿宋" w:eastAsia="仿宋_GB2312"/>
          <w:b w:val="0"/>
          <w:i w:val="0"/>
          <w:caps w:val="0"/>
          <w:color w:val="000000" w:themeColor="text1"/>
          <w:spacing w:val="0"/>
          <w:w w:val="100"/>
          <w:kern w:val="0"/>
          <w:sz w:val="32"/>
          <w:szCs w:val="20"/>
          <w:highlight w:val="none"/>
          <w:u w:val="none" w:color="auto"/>
          <w14:textFill>
            <w14:solidFill>
              <w14:schemeClr w14:val="tx1"/>
            </w14:solidFill>
          </w14:textFill>
        </w:rPr>
        <w:t>一批3A级以上的景区</w:t>
      </w:r>
      <w:r>
        <w:rPr>
          <w:rFonts w:hint="eastAsia" w:ascii="仿宋_GB2312" w:hAnsi="仿宋" w:eastAsia="仿宋_GB2312"/>
          <w:b w:val="0"/>
          <w:i w:val="0"/>
          <w:caps w:val="0"/>
          <w:color w:val="000000" w:themeColor="text1"/>
          <w:spacing w:val="0"/>
          <w:w w:val="100"/>
          <w:kern w:val="0"/>
          <w:sz w:val="32"/>
          <w:szCs w:val="20"/>
          <w:highlight w:val="none"/>
          <w:u w:val="none" w:color="auto"/>
          <w:lang w:eastAsia="zh-CN"/>
          <w14:textFill>
            <w14:solidFill>
              <w14:schemeClr w14:val="tx1"/>
            </w14:solidFill>
          </w14:textFill>
        </w:rPr>
        <w:t>。</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68" w:name="_Toc7842"/>
      <w:bookmarkStart w:id="169" w:name="_Toc6543"/>
      <w:bookmarkStart w:id="170" w:name="_Toc5219"/>
      <w:r>
        <w:rPr>
          <w:rFonts w:hint="eastAsia" w:ascii="黑体" w:hAnsi="黑体" w:eastAsia="黑体" w:cs="仿宋"/>
          <w:color w:val="000000" w:themeColor="text1"/>
          <w:sz w:val="32"/>
          <w:szCs w:val="32"/>
          <w:highlight w:val="none"/>
          <w14:textFill>
            <w14:solidFill>
              <w14:schemeClr w14:val="tx1"/>
            </w14:solidFill>
          </w14:textFill>
        </w:rPr>
        <w:t xml:space="preserve">第三节 </w:t>
      </w:r>
      <w:bookmarkEnd w:id="167"/>
      <w:r>
        <w:rPr>
          <w:rFonts w:hint="eastAsia" w:ascii="黑体" w:hAnsi="黑体" w:eastAsia="黑体" w:cs="仿宋"/>
          <w:color w:val="000000" w:themeColor="text1"/>
          <w:sz w:val="32"/>
          <w:szCs w:val="32"/>
          <w:highlight w:val="none"/>
          <w14:textFill>
            <w14:solidFill>
              <w14:schemeClr w14:val="tx1"/>
            </w14:solidFill>
          </w14:textFill>
        </w:rPr>
        <w:t>全面提升中心城区发展能级</w:t>
      </w:r>
      <w:bookmarkEnd w:id="168"/>
      <w:bookmarkEnd w:id="169"/>
      <w:bookmarkEnd w:id="170"/>
    </w:p>
    <w:p>
      <w:pPr>
        <w:snapToGrid/>
        <w:spacing w:before="0" w:beforeAutospacing="0" w:after="0" w:afterAutospacing="0" w:line="58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——以“联创行动”为抓手，对标对表全省中等城市标准，加强中心城区公建配套能力，提升城市发展能级。</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完善国土空间规划，增强城市整体性和协调性，加快“城市客厅”“城市展厅”“城市阳台”建设，实现控制性详细规划全覆盖。树立经营城市理念，以螺河为中心，向东西两岸拓展</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5平方公里</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扩大城区规模，完善中等城市基本框架，对接周边城市规划，实现300米见绿、500米见公园，推动区域、城乡统筹融合发展。统筹推进老城区改造和新城区建设，合理布局公共设施，推进城市路网、污水管网、停车场、公共厕所、人行道、标志牌、景观绿化等建设，疏浚城市水体、治理城市内涝，不断完善城市功能。</w:t>
      </w:r>
    </w:p>
    <w:p>
      <w:pPr>
        <w:snapToGrid/>
        <w:spacing w:before="0" w:beforeAutospacing="0" w:after="0" w:afterAutospacing="0" w:line="58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——优化提升中心城区环境品质。</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深化城中村改社区基层组织、集体产权管理、公共产品供给等制度改革。明晰和固化集体资产权属，推动农村土地集约节约利用，提高城乡基本公共服务一体化水平。推动村改社区在市政规划、基础设施、社会治理、公共服务、财政供给等方面与城市社区相衔接，引导城市规划区内村庄建成特色社区。妥善解决村改社区历史遗留问题。分类推进城中村治理，建立城中村更新改造项目库</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，加快推进老城区改造</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新城区建设和农村</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厕所革命</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，建立完善环境保洁特别是公厕保洁长效机制，确保达到干净整洁村标准。</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探索城中村改造多元化投融资模式，搭建城中村改造融资平台，拓展多元融资渠道，吸纳社会资本参与城中村改造。</w:t>
      </w:r>
      <w:r>
        <w:rPr>
          <w:rFonts w:hint="eastAsia" w:ascii="仿宋_GB2312" w:hAnsi="仿宋_GB2312" w:eastAsia="仿宋_GB2312" w:cs="仿宋_GB2312"/>
          <w:b w:val="0"/>
          <w:bCs/>
          <w:i w:val="0"/>
          <w:caps w:val="0"/>
          <w:color w:val="000000" w:themeColor="text1"/>
          <w:spacing w:val="0"/>
          <w:w w:val="100"/>
          <w:sz w:val="32"/>
          <w:szCs w:val="32"/>
          <w:highlight w:val="none"/>
          <w:u w:val="none" w:color="auto"/>
          <w14:textFill>
            <w14:solidFill>
              <w14:schemeClr w14:val="tx1"/>
            </w14:solidFill>
          </w14:textFill>
        </w:rPr>
        <w:t>大力提升城市精细化管理水平，重点抓好交通秩序、市容市貌整治提升，深入推进垃圾分类，加快完成陆城“撤桶”，做到“垃圾不落地，陆城更美丽”。</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通过“微改造”促进城市有机更新，推动“绣花针”式精细化管理，打造“数字城市”“智慧城市”，促使城市焕发新活力。</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0"/>
              <w:snapToGrid/>
              <w:spacing w:before="0" w:beforeAutospacing="0" w:after="120" w:afterAutospacing="0" w:line="400" w:lineRule="exact"/>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专栏9-2 提升城市公共服务能力重点工程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我市</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推进生活污水处理设施建设PPP项目：</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中心城区部分：</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新建城区配套污水收集管网。</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镇区部分：</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新建八万、陂洋、博美、大安、河东、河西、湖东、甲东、金厢、南塘、内湖、桥冲、上英、潭西、西南和铜锣湖农场等16座镇级生活污水处理厂。</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农村部分：</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新建892座农村污水处理设施，覆盖895个自然村</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2.陆丰市第二污水处理厂（一期）工程及配套管网工程：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建设内容包含日处理50000吨</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的</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厂区工程及管网工程。</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3.陆丰市垃圾分类处理中心项目：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推动陆丰市垃圾分类处理中心项目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，主要建设垃圾中转站、垃圾处理车间、有害垃圾临时停放分拣中心、可回收垃圾临时停放站、厨余垃圾处理站及配套设施设备。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 xml:space="preserve">  </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4.螺河东路至第二污水厂管网工程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：建设污水管网</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筋砼管</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钢筋砼矩形井、顶管工作井、顶管接收井、提升泵房</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等</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5.螺河东路市政工程（一期）：</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一期建设线路由广汕公路茫洋桥至新广汕公路相接，道路红线宽度按80米控制，双向6车道。</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6.运河景观带建设项目：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全长4.82公里，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主要建设内容包括</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河道驳岸工程，绿化工程、硬质工程、公共配套设施、道路白改黑等</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7.陆丰创园公园建设项目：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建设23个公园建设项目，其中新建4类22项公园，升级改造公园1项</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8.陆丰市老旧小区改造工程: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分批对全市建成区部分老旧小区进行改造升级，重点是东海镇玉印小区，东海镇红桥小区，城东镇税所宿舍，东海镇东风商城宿舍、东海镇新光副食品厂宿舍，东海镇南堤工商物业、东海镇红光荣兴新村、东海镇红光大厦</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。谋划推动碣石镇、甲子镇老旧小区改造项目。</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9.陆丰市新时代市民广场建设项目</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以活力、人文、生态为内涵，突出城市形象轴线的打造，为市民提供集会、运动、休闲场所。建设广场集散区域、阳光草坪、植物园、儿童活动场以及多个体育活动空间。配套1个地下人防空间兼停车场，地下人防</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71" w:name="_Toc440"/>
      <w:bookmarkStart w:id="172" w:name="_Toc22662"/>
      <w:bookmarkStart w:id="173" w:name="_Toc17980"/>
      <w:bookmarkStart w:id="174" w:name="_Toc28041"/>
      <w:r>
        <w:rPr>
          <w:rFonts w:hint="eastAsia" w:ascii="黑体" w:hAnsi="黑体" w:eastAsia="黑体" w:cs="仿宋"/>
          <w:color w:val="000000" w:themeColor="text1"/>
          <w:sz w:val="32"/>
          <w:szCs w:val="32"/>
          <w:highlight w:val="none"/>
          <w14:textFill>
            <w14:solidFill>
              <w14:schemeClr w14:val="tx1"/>
            </w14:solidFill>
          </w14:textFill>
        </w:rPr>
        <w:t>第四节 推动县域高质量发展</w:t>
      </w:r>
      <w:bookmarkEnd w:id="171"/>
      <w:bookmarkEnd w:id="172"/>
      <w:bookmarkEnd w:id="173"/>
      <w:bookmarkEnd w:id="174"/>
    </w:p>
    <w:p>
      <w:pPr>
        <w:pStyle w:val="22"/>
        <w:snapToGrid/>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kern w:val="2"/>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kern w:val="2"/>
          <w:sz w:val="32"/>
          <w:szCs w:val="32"/>
          <w:highlight w:val="none"/>
          <w:u w:val="none" w:color="auto"/>
          <w:lang w:val="en-US" w:eastAsia="zh-CN"/>
          <w14:textFill>
            <w14:solidFill>
              <w14:schemeClr w14:val="tx1"/>
            </w14:solidFill>
          </w14:textFill>
        </w:rPr>
        <w:t>协调</w:t>
      </w:r>
      <w:r>
        <w:rPr>
          <w:rFonts w:hint="eastAsia" w:ascii="仿宋_GB2312" w:hAnsi="仿宋_GB2312" w:eastAsia="仿宋_GB2312" w:cs="仿宋_GB2312"/>
          <w:b w:val="0"/>
          <w:i w:val="0"/>
          <w:caps w:val="0"/>
          <w:color w:val="000000" w:themeColor="text1"/>
          <w:spacing w:val="0"/>
          <w:w w:val="100"/>
          <w:kern w:val="2"/>
          <w:sz w:val="32"/>
          <w:szCs w:val="32"/>
          <w:highlight w:val="none"/>
          <w:u w:val="none" w:color="auto"/>
          <w14:textFill>
            <w14:solidFill>
              <w14:schemeClr w14:val="tx1"/>
            </w14:solidFill>
          </w14:textFill>
        </w:rPr>
        <w:t>好中心城区和各镇的发展关系，推动城镇功能互补和协同发展，增强区域人口集聚和综合承载能力。优先支持中心镇加快发展，加快补齐建制镇的基础设施和公共服务短板，优化公共服务和基础设施，引导农民到中心镇集中居住，形成良好城乡发展格局。高水平规划建设碣石镇、南塘镇，</w:t>
      </w:r>
      <w:r>
        <w:rPr>
          <w:rFonts w:hint="eastAsia" w:ascii="仿宋_GB2312" w:hAnsi="仿宋_GB2312" w:eastAsia="仿宋_GB2312" w:cs="仿宋_GB2312"/>
          <w:b w:val="0"/>
          <w:i w:val="0"/>
          <w:caps w:val="0"/>
          <w:color w:val="000000" w:themeColor="text1"/>
          <w:spacing w:val="0"/>
          <w:w w:val="100"/>
          <w:kern w:val="2"/>
          <w:sz w:val="32"/>
          <w:szCs w:val="32"/>
          <w:highlight w:val="none"/>
          <w:u w:val="none" w:color="auto"/>
          <w:lang w:val="en-US" w:eastAsia="zh-CN"/>
          <w14:textFill>
            <w14:solidFill>
              <w14:schemeClr w14:val="tx1"/>
            </w14:solidFill>
          </w14:textFill>
        </w:rPr>
        <w:t>积极</w:t>
      </w:r>
      <w:r>
        <w:rPr>
          <w:rFonts w:hint="eastAsia" w:ascii="仿宋_GB2312" w:hAnsi="仿宋_GB2312" w:eastAsia="仿宋_GB2312" w:cs="仿宋_GB2312"/>
          <w:b w:val="0"/>
          <w:i w:val="0"/>
          <w:caps w:val="0"/>
          <w:color w:val="000000" w:themeColor="text1"/>
          <w:spacing w:val="0"/>
          <w:w w:val="100"/>
          <w:kern w:val="2"/>
          <w:sz w:val="32"/>
          <w:szCs w:val="32"/>
          <w:highlight w:val="none"/>
          <w:u w:val="none" w:color="auto"/>
          <w14:textFill>
            <w14:solidFill>
              <w14:schemeClr w14:val="tx1"/>
            </w14:solidFill>
          </w14:textFill>
        </w:rPr>
        <w:t>推动三甲地区三镇一体化进程，打造一批具有产业特色优势、传承民俗文化的魅力</w:t>
      </w:r>
      <w:r>
        <w:rPr>
          <w:rFonts w:hint="eastAsia" w:ascii="仿宋_GB2312" w:hAnsi="仿宋_GB2312" w:eastAsia="仿宋_GB2312" w:cs="仿宋_GB2312"/>
          <w:b w:val="0"/>
          <w:i w:val="0"/>
          <w:caps w:val="0"/>
          <w:color w:val="000000" w:themeColor="text1"/>
          <w:spacing w:val="0"/>
          <w:w w:val="100"/>
          <w:kern w:val="2"/>
          <w:sz w:val="32"/>
          <w:szCs w:val="32"/>
          <w:highlight w:val="none"/>
          <w:u w:val="none" w:color="auto"/>
          <w:lang w:val="en-US" w:eastAsia="zh-CN"/>
          <w14:textFill>
            <w14:solidFill>
              <w14:schemeClr w14:val="tx1"/>
            </w14:solidFill>
          </w14:textFill>
        </w:rPr>
        <w:t>的</w:t>
      </w:r>
      <w:r>
        <w:rPr>
          <w:rFonts w:hint="eastAsia" w:ascii="仿宋_GB2312" w:hAnsi="仿宋_GB2312" w:eastAsia="仿宋_GB2312" w:cs="仿宋_GB2312"/>
          <w:b w:val="0"/>
          <w:i w:val="0"/>
          <w:caps w:val="0"/>
          <w:color w:val="000000" w:themeColor="text1"/>
          <w:spacing w:val="0"/>
          <w:w w:val="100"/>
          <w:kern w:val="2"/>
          <w:sz w:val="32"/>
          <w:szCs w:val="32"/>
          <w:highlight w:val="none"/>
          <w:u w:val="none" w:color="auto"/>
          <w14:textFill>
            <w14:solidFill>
              <w14:schemeClr w14:val="tx1"/>
            </w14:solidFill>
          </w14:textFill>
        </w:rPr>
        <w:t>区域中心，带动农业农村现代化和农民就近城镇化。</w:t>
      </w:r>
    </w:p>
    <w:p>
      <w:pPr>
        <w:snapToGrid/>
        <w:spacing w:before="0" w:beforeAutospacing="0" w:after="0" w:afterAutospacing="0" w:line="600" w:lineRule="exact"/>
        <w:ind w:firstLine="643" w:firstLineChars="200"/>
        <w:jc w:val="both"/>
        <w:textAlignment w:val="baseline"/>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——推动</w:t>
      </w: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碣石镇建设市域副中心。</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借助碣石镇是</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城乡融合发展省级试点镇</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和广东省圣诞品专业镇的优势</w:t>
      </w:r>
      <w:r>
        <w:rPr>
          <w:rFonts w:hint="eastAsia" w:ascii="仿宋" w:hAnsi="仿宋"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打造成为以圣诞玩具、服装、电子、</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贝</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雕为主的加工工业中心，发展休闲旅游业和现代商贸业，陆丰市环境优美的市域副中心。积极参与和推动从乌坎至金厢镇到碣石镇的滨海旅游带建设，强化南塘镇的联系，拓宽</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228</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国道，加强物流与高铁的接驳。强化中心镇区的配套服务功能，发展商业、宾馆、金融、文体和医疗卫生等服务设施；加</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快谋划推动碣石</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民营工业园区建设，</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推动</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圣诞玩具、服装、电子、木雕等传统优势产业</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创新集聚</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发展</w:t>
      </w:r>
      <w:r>
        <w:rPr>
          <w:rFonts w:hint="eastAsia" w:ascii="仿宋" w:hAnsi="仿宋"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进一步做大做强海工基地，</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不断</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延伸发展临港工业</w:t>
      </w:r>
      <w:r>
        <w:rPr>
          <w:rFonts w:hint="eastAsia" w:ascii="仿宋" w:hAnsi="仿宋"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大力</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推进</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现代农业，发展</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农产品加工</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业</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；注重保护</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海洋</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生态环境，建设环境优美、设施完备的新型</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滨海</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居住</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和现代</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产业区。</w:t>
      </w:r>
    </w:p>
    <w:p>
      <w:pPr>
        <w:snapToGrid/>
        <w:spacing w:before="0" w:beforeAutospacing="0" w:after="0" w:afterAutospacing="0" w:line="600" w:lineRule="exact"/>
        <w:ind w:firstLine="643" w:firstLineChars="200"/>
        <w:jc w:val="both"/>
        <w:textAlignment w:val="baseline"/>
        <w:rPr>
          <w:rFonts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——促进三甲协同发展。</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借助三甲地区地理相邻、文化同源、情谊相通的优势，加强甲子镇、甲东镇和甲西镇的一体化进程。推动三镇联合解决基础设施、产业布局和城市建设的协同。发挥三甲地区强劲的民营产业内生动力，在甲东镇布局民营工业园，通过集中集约发展，发展以五金塑料、工艺制品、家具配件为主的外向型工业生产基地。整合发展空间和优化资源配置的同时，重点加强与东部惠来、普宁的联系，建设大南海石化产业园汕尾东海岸石化基地项目，积极承接与石化产业相关的下游产业，继续壮大五金塑料、海产品深加工、五金塑料家具配件等传统产业；发展现代商贸业，注重保护生态环境，建设环境优美、设施完备的新型居住、产业区。</w:t>
      </w:r>
    </w:p>
    <w:p>
      <w:pPr>
        <w:snapToGrid/>
        <w:spacing w:before="0" w:beforeAutospacing="0" w:after="0" w:afterAutospacing="0" w:line="600" w:lineRule="exact"/>
        <w:ind w:firstLine="643" w:firstLineChars="200"/>
        <w:jc w:val="both"/>
        <w:textAlignment w:val="baseline"/>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——有效发挥南塘镇交通枢纽作用，提升东南部城镇通达度。</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依托汕汕高铁陆丰东站，发挥南塘镇作为革命老区</w:t>
      </w:r>
      <w:r>
        <w:rPr>
          <w:rFonts w:hint="eastAsia" w:ascii="仿宋" w:hAnsi="仿宋"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重点镇、文明镇</w:t>
      </w:r>
      <w:r>
        <w:rPr>
          <w:rFonts w:hint="eastAsia" w:ascii="仿宋" w:hAnsi="仿宋"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农业重镇的优势，强化</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作为我市</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中西部商贸物流及特色农产品生产及加工专业镇功能。发展</w:t>
      </w:r>
      <w:r>
        <w:rPr>
          <w:rFonts w:hint="eastAsia" w:ascii="仿宋" w:hAnsi="仿宋"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蔬菜种植业、</w:t>
      </w:r>
      <w:r>
        <w:rPr>
          <w:rFonts w:hint="eastAsia" w:ascii="仿宋" w:hAnsi="仿宋" w:eastAsia="仿宋_GB2312"/>
          <w:b w:val="0"/>
          <w:i w:val="0"/>
          <w:caps w:val="0"/>
          <w:color w:val="000000" w:themeColor="text1"/>
          <w:spacing w:val="0"/>
          <w:w w:val="100"/>
          <w:sz w:val="32"/>
          <w:szCs w:val="32"/>
          <w:highlight w:val="none"/>
          <w:u w:val="none" w:color="auto"/>
          <w14:textFill>
            <w14:solidFill>
              <w14:schemeClr w14:val="tx1"/>
            </w14:solidFill>
          </w14:textFill>
        </w:rPr>
        <w:t>畜禽养殖业，带动农副产品加工业的发展，形成市域中西部的商贸物流及农副产品加工基地和环境优美的现代化农业城镇。打造南塘民营工业园，促进制造业规模和质量双提升。重点围绕东站周边商贸物流聚集区，利用自身特色优势打造民营品牌的农副产品加工业，采取集约式和外向带动相结合的发展模式，发展民营经济和外向型经济。</w:t>
      </w:r>
    </w:p>
    <w:p>
      <w:pPr>
        <w:pStyle w:val="2"/>
        <w:rPr>
          <w:rFonts w:hint="eastAsia"/>
        </w:rPr>
      </w:pP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522" w:type="dxa"/>
          </w:tcPr>
          <w:p>
            <w:pPr>
              <w:snapToGrid/>
              <w:spacing w:before="0" w:beforeAutospacing="0" w:after="0" w:afterAutospacing="0" w:line="600" w:lineRule="exact"/>
              <w:jc w:val="center"/>
              <w:textAlignment w:val="baseline"/>
              <w:rPr>
                <w:rFonts w:hint="eastAsia"/>
                <w:b/>
                <w:bCs/>
                <w:i w:val="0"/>
                <w:caps w:val="0"/>
                <w:color w:val="000000" w:themeColor="text1"/>
                <w:spacing w:val="0"/>
                <w:w w:val="100"/>
                <w:sz w:val="30"/>
                <w:szCs w:val="30"/>
                <w:highlight w:val="none"/>
                <w:u w:val="none" w:color="auto"/>
                <w14:textFill>
                  <w14:solidFill>
                    <w14:schemeClr w14:val="tx1"/>
                  </w14:solidFill>
                </w14:textFill>
              </w:rPr>
            </w:pPr>
            <w:bookmarkStart w:id="175" w:name="_Toc30599"/>
            <w:bookmarkStart w:id="176" w:name="_Toc7544"/>
            <w:bookmarkStart w:id="177" w:name="_Toc12635"/>
            <w:bookmarkStart w:id="178" w:name="_Toc21183"/>
            <w:bookmarkStart w:id="179" w:name="_Toc32324"/>
            <w:bookmarkStart w:id="180" w:name="_Toc30466"/>
            <w:bookmarkStart w:id="181" w:name="_Toc26686"/>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专栏9-3 各城镇职能定位及分工</w:t>
            </w:r>
            <w:bookmarkEnd w:id="175"/>
            <w:bookmarkEnd w:id="176"/>
            <w:bookmarkEnd w:id="177"/>
            <w:bookmarkEnd w:id="178"/>
            <w:bookmarkEnd w:id="179"/>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7" w:hRule="atLeast"/>
        </w:trPr>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1.综合服务型城镇：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中心城区、碣石镇、甲子镇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作</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为城市规划区、市域中部地区、市域东部地区的生产中心、生活中心和综合服务中心。</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2.商贸型城镇：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指南塘镇，依托汕汕高铁陆丰东站，吸引来往交通流和更多商贸活动。</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3.工贸型城镇：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内湖镇、湖东镇、上英镇、潭西镇、星都经济开发区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重点发展工业、商贸职能，培育成为工业发达、商贸服务兴旺的工贸型城镇。其中，星都经济开发区属于工贸型城镇，未来将打造成为国家级高新区的重要组成部分，成为汕尾市中部的新型产业基地与综合服务新城，并以</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东海经济开发区发展</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生物医药、电子信息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为主</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4.农业型城镇：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包括博美镇、大安镇、陂洋镇、桥冲镇、西南镇、八万镇等，农业较为发达，应结合其自身的资源特色，发挥资源优势，重点发展特色农业。</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5.旅游型城镇：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金厢镇、河东镇，生态环境良好，旅游资源得天独厚，金厢镇更是拥有被誉为“粤东旅游黄金海岸”的金厢滩，重点发展观光旅游业。</w:t>
            </w:r>
          </w:p>
        </w:tc>
      </w:tr>
    </w:tbl>
    <w:p>
      <w:pPr>
        <w:spacing w:line="200" w:lineRule="exact"/>
        <w:ind w:firstLine="0" w:firstLineChars="0"/>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pPr>
    </w:p>
    <w:p>
      <w:pPr>
        <w:ind w:firstLine="643" w:firstLineChars="200"/>
        <w:rPr>
          <w:rFonts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 w:hAnsi="仿宋"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hAnsi="仿宋_GB2312" w:eastAsia="仿宋_GB2312" w:cs="仿宋_GB2312"/>
          <w:b/>
          <w:color w:val="000000" w:themeColor="text1"/>
          <w:sz w:val="32"/>
          <w:szCs w:val="32"/>
          <w:highlight w:val="none"/>
          <w14:textFill>
            <w14:solidFill>
              <w14:schemeClr w14:val="tx1"/>
            </w14:solidFill>
          </w14:textFill>
        </w:rPr>
        <w:t>坚持精品城市建设引领，打造裂变发展新载体</w:t>
      </w:r>
    </w:p>
    <w:p>
      <w:pPr>
        <w:ind w:firstLine="640" w:firstLineChars="200"/>
        <w:jc w:val="both"/>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抓好23个镇（场区）新规划</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全面推进</w:t>
      </w:r>
      <w:r>
        <w:rPr>
          <w:rFonts w:hint="eastAsia" w:ascii="仿宋_GB2312" w:hAnsi="仿宋_GB2312" w:eastAsia="仿宋_GB2312" w:cs="仿宋_GB2312"/>
          <w:color w:val="000000" w:themeColor="text1"/>
          <w:sz w:val="32"/>
          <w:szCs w:val="32"/>
          <w:highlight w:val="none"/>
          <w:shd w:val="clear" w:color="auto" w:fill="FFFFFF"/>
          <w:lang w:val="en-US" w:eastAsia="zh-CN"/>
          <w14:textFill>
            <w14:solidFill>
              <w14:schemeClr w14:val="tx1"/>
            </w14:solidFill>
          </w14:textFill>
        </w:rPr>
        <w:t>各</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镇（场区）新型城镇化建设，以镇、村率先发展推动全市全面裂变发展。</w:t>
      </w:r>
    </w:p>
    <w:p>
      <w:pPr>
        <w:ind w:firstLine="643" w:firstLineChars="200"/>
        <w:jc w:val="both"/>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东海镇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发挥中心城区的领头作用，切实抓好螺河东路、行政新区公园、五星级酒店等项目的征地工作，全力做好项目要素保障。推进陆丰市乌坎滨海旅游环境综合整治项目</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建设</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，促进旅游消费。加快东海经济产业园提质增效，点燃镇域经济发展的发动机</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，重点推进康佳半导体光电显示及终端项目建设</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。要在“绣花功夫”上下苦工，全面抓好上海路、河图岭路、龙山大道等十条旧城区市政道路升级改造，规划好</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300米见绿、500米见园的标点，做好环境卫生、整治交通拥堵，以全新的面貌率先实现城美、街美、村美。</w:t>
      </w:r>
    </w:p>
    <w:p>
      <w:pPr>
        <w:ind w:firstLine="643" w:firstLineChars="200"/>
        <w:jc w:val="both"/>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城东镇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加快火车站站前广场建设，升级改造城东大道、延伸东埔路接入陆丰大道，承接陆城外溢红利。推进高美（海鲈）水产科技养殖产业基地和生猪养殖项目基地、磨海枸杞菜种植基地等在建项目建设，实现城郊融合、集聚发展。</w:t>
      </w:r>
    </w:p>
    <w:p>
      <w:pPr>
        <w:ind w:firstLine="643" w:firstLineChars="200"/>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河东镇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以建设陆城“东大门”为引领，</w:t>
      </w:r>
      <w:r>
        <w:rPr>
          <w:rFonts w:hint="eastAsia" w:ascii="仿宋_GB2312" w:hAnsi="仿宋_GB2312" w:eastAsia="仿宋_GB2312" w:cs="仿宋_GB2312"/>
          <w:color w:val="000000" w:themeColor="text1"/>
          <w:sz w:val="32"/>
          <w:szCs w:val="32"/>
          <w:highlight w:val="none"/>
          <w14:textFill>
            <w14:solidFill>
              <w14:schemeClr w14:val="tx1"/>
            </w14:solidFill>
          </w14:textFill>
        </w:rPr>
        <w:t>加快谋划建设后坎温泉度假村、国防教育基地、华辉至后坎村环城北大道等项目，</w:t>
      </w:r>
      <w:r>
        <w:rPr>
          <w:rFonts w:hint="eastAsia" w:ascii="Times New Roman" w:hAnsi="Times New Roman" w:eastAsia="仿宋_GB2312"/>
          <w:color w:val="000000" w:themeColor="text1"/>
          <w:kern w:val="0"/>
          <w:sz w:val="32"/>
          <w:szCs w:val="32"/>
          <w:highlight w:val="none"/>
          <w:shd w:val="clear" w:color="auto" w:fill="FFFFFF"/>
          <w:lang w:bidi="ar"/>
          <w14:textFill>
            <w14:solidFill>
              <w14:schemeClr w14:val="tx1"/>
            </w14:solidFill>
          </w14:textFill>
        </w:rPr>
        <w:t>推动“</w:t>
      </w:r>
      <w:r>
        <w:rPr>
          <w:rFonts w:hint="eastAsia" w:ascii="仿宋_GB2312" w:hAnsi="仿宋_GB2312" w:eastAsia="仿宋_GB2312" w:cs="仿宋_GB2312"/>
          <w:color w:val="000000" w:themeColor="text1"/>
          <w:sz w:val="32"/>
          <w:szCs w:val="32"/>
          <w:highlight w:val="none"/>
          <w14:textFill>
            <w14:solidFill>
              <w14:schemeClr w14:val="tx1"/>
            </w14:solidFill>
          </w14:textFill>
        </w:rPr>
        <w:t>七彩稻花香”、高株油菜花景观网红打卡地和后坎大洋片千亩玉米农业休闲田园综合体发挥效应，打造农业休闲旅游观光小镇。</w:t>
      </w:r>
    </w:p>
    <w:p>
      <w:pPr>
        <w:ind w:firstLine="643" w:firstLineChars="200"/>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河西镇</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当好向西融入</w:t>
      </w:r>
      <w:r>
        <w:rPr>
          <w:rFonts w:hint="eastAsia" w:ascii="Times New Roman" w:hAnsi="Times New Roman" w:eastAsia="仿宋_GB2312"/>
          <w:color w:val="000000" w:themeColor="text1"/>
          <w:kern w:val="0"/>
          <w:sz w:val="32"/>
          <w:szCs w:val="32"/>
          <w:highlight w:val="none"/>
          <w:shd w:val="clear" w:color="auto" w:fill="FFFFFF"/>
          <w:lang w:bidi="ar"/>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双区”排头兵，加快推进国道324线河西段、省道510线河西段等基础设施建设，以</w:t>
      </w:r>
      <w:r>
        <w:rPr>
          <w:rFonts w:hint="eastAsia" w:ascii="Times New Roman" w:hAnsi="Times New Roman" w:eastAsia="仿宋_GB2312"/>
          <w:color w:val="000000" w:themeColor="text1"/>
          <w:sz w:val="32"/>
          <w:szCs w:val="32"/>
          <w:highlight w:val="none"/>
          <w:lang w:val="zh-CN"/>
          <w14:textFill>
            <w14:solidFill>
              <w14:schemeClr w14:val="tx1"/>
            </w14:solidFill>
          </w14:textFill>
        </w:rPr>
        <w:t>农业生态休闲观光示范带建设为主要抓手，打造田园综合体示范点，</w:t>
      </w:r>
      <w:r>
        <w:rPr>
          <w:rFonts w:hint="eastAsia" w:ascii="仿宋_GB2312" w:hAnsi="仿宋_GB2312" w:eastAsia="仿宋_GB2312" w:cs="仿宋_GB2312"/>
          <w:color w:val="000000" w:themeColor="text1"/>
          <w:sz w:val="32"/>
          <w:szCs w:val="32"/>
          <w:highlight w:val="none"/>
          <w14:textFill>
            <w14:solidFill>
              <w14:schemeClr w14:val="tx1"/>
            </w14:solidFill>
          </w14:textFill>
        </w:rPr>
        <w:t>焕发镇、村新面貌。</w:t>
      </w:r>
    </w:p>
    <w:p>
      <w:pPr>
        <w:ind w:firstLine="643" w:firstLineChars="200"/>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上英镇</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加快推进水稻、</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番</w:t>
      </w:r>
      <w:r>
        <w:rPr>
          <w:rFonts w:hint="eastAsia" w:ascii="仿宋_GB2312" w:hAnsi="仿宋_GB2312" w:eastAsia="仿宋_GB2312" w:cs="仿宋_GB2312"/>
          <w:color w:val="000000" w:themeColor="text1"/>
          <w:sz w:val="32"/>
          <w:szCs w:val="32"/>
          <w:highlight w:val="none"/>
          <w14:textFill>
            <w14:solidFill>
              <w14:schemeClr w14:val="tx1"/>
            </w14:solidFill>
          </w14:textFill>
        </w:rPr>
        <w:t>薯等特色农产品面向“大湾区”市场的步伐，大力发展“农家乐”、“蔬菜园”一体的田园综合体，积极对接珠东快速路（陆丰段）和沿海观光路项目建设，打造产、乡、景一体化融合发展的陆城后花园。</w:t>
      </w:r>
    </w:p>
    <w:p>
      <w:pPr>
        <w:ind w:firstLine="643" w:firstLineChars="200"/>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潭西镇</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全力推进省道510线潭西至西南公路、沈海高速潭西段改扩建工程及潭西互通出入口项目，积极衔接珠东快速路（陆丰段）规划，畅通陆丰西大门美丽通道。要充分挖掘潭涌七乡农会旧址、大楼古村落、“法留腾云”文化旅游资源，建设生态文旅农业强镇。</w:t>
      </w:r>
    </w:p>
    <w:p>
      <w:pPr>
        <w:ind w:firstLine="643" w:firstLineChars="200"/>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星都</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经济</w:t>
      </w:r>
      <w:r>
        <w:rPr>
          <w:rFonts w:hint="eastAsia" w:ascii="仿宋_GB2312" w:hAnsi="仿宋_GB2312" w:eastAsia="仿宋_GB2312" w:cs="仿宋_GB2312"/>
          <w:b/>
          <w:color w:val="000000" w:themeColor="text1"/>
          <w:sz w:val="32"/>
          <w:szCs w:val="32"/>
          <w:highlight w:val="none"/>
          <w14:textFill>
            <w14:solidFill>
              <w14:schemeClr w14:val="tx1"/>
            </w14:solidFill>
          </w14:textFill>
        </w:rPr>
        <w:t>开发区</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以打造西翼工业和物流产业高地为引领，全面融入汕尾高新技术产业开发区，加快德辉环境科技项目和榕丰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活性炭</w:t>
      </w:r>
      <w:r>
        <w:rPr>
          <w:rFonts w:hint="eastAsia" w:ascii="仿宋_GB2312" w:hAnsi="仿宋_GB2312" w:eastAsia="仿宋_GB2312" w:cs="仿宋_GB2312"/>
          <w:color w:val="000000" w:themeColor="text1"/>
          <w:sz w:val="32"/>
          <w:szCs w:val="32"/>
          <w:highlight w:val="none"/>
          <w14:textFill>
            <w14:solidFill>
              <w14:schemeClr w14:val="tx1"/>
            </w14:solidFill>
          </w14:textFill>
        </w:rPr>
        <w:t>项目的建设进度，推动已供地项目新型建材产业基地建设项目、伍峰新型建材项目和广绿环保设备生产基地项目早日动工建设，力争年底前实现园区效益。</w:t>
      </w:r>
    </w:p>
    <w:p>
      <w:pPr>
        <w:ind w:firstLine="643" w:firstLineChars="200"/>
        <w:jc w:val="both"/>
        <w:rPr>
          <w:rFonts w:hint="eastAsia" w:ascii="仿宋_GB2312" w:hAnsi="仿宋_GB2312" w:eastAsia="仿宋_GB2312" w:cs="仿宋_GB2312"/>
          <w:color w:val="000000" w:themeColor="text1"/>
          <w:sz w:val="32"/>
          <w:szCs w:val="40"/>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金厢镇</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40"/>
          <w:highlight w:val="none"/>
          <w14:textFill>
            <w14:solidFill>
              <w14:schemeClr w14:val="tx1"/>
            </w14:solidFill>
          </w14:textFill>
        </w:rPr>
        <w:t>以争创“八大美丽”示范为抓手，依托滨海走廊景观示范带建设，重点推进周恩来红色革命遗址保护利用、金厢渔港建设、金沙湾文旅等重大项目建设，加快金厢溪碧道、创建AAA景区、星级酒店、民宿等工程建设进度，打造陆丰全域旅游先行示范点。</w:t>
      </w:r>
    </w:p>
    <w:p>
      <w:pPr>
        <w:ind w:firstLine="643" w:firstLineChars="200"/>
        <w:jc w:val="both"/>
        <w:rPr>
          <w:rFonts w:hint="eastAsia" w:ascii="仿宋_GB2312" w:hAnsi="仿宋_GB2312" w:eastAsia="仿宋_GB2312" w:cs="仿宋_GB2312"/>
          <w:color w:val="000000" w:themeColor="text1"/>
          <w:sz w:val="32"/>
          <w:szCs w:val="40"/>
          <w:highlight w:val="none"/>
          <w14:textFill>
            <w14:solidFill>
              <w14:schemeClr w14:val="tx1"/>
            </w14:solidFill>
          </w14:textFill>
        </w:rPr>
      </w:pPr>
      <w:r>
        <w:rPr>
          <w:rFonts w:hint="eastAsia" w:ascii="仿宋_GB2312" w:hAnsi="仿宋_GB2312" w:eastAsia="仿宋_GB2312" w:cs="仿宋_GB2312"/>
          <w:b/>
          <w:color w:val="000000" w:themeColor="text1"/>
          <w:sz w:val="32"/>
          <w:szCs w:val="40"/>
          <w:highlight w:val="none"/>
          <w14:textFill>
            <w14:solidFill>
              <w14:schemeClr w14:val="tx1"/>
            </w14:solidFill>
          </w14:textFill>
        </w:rPr>
        <w:t>碣石镇</w:t>
      </w:r>
      <w:r>
        <w:rPr>
          <w:rFonts w:hint="eastAsia" w:ascii="仿宋_GB2312" w:hAnsi="仿宋_GB2312" w:eastAsia="仿宋_GB2312" w:cs="仿宋_GB2312"/>
          <w:b/>
          <w:color w:val="000000" w:themeColor="text1"/>
          <w:sz w:val="32"/>
          <w:szCs w:val="40"/>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40"/>
          <w:highlight w:val="none"/>
          <w14:textFill>
            <w14:solidFill>
              <w14:schemeClr w14:val="tx1"/>
            </w14:solidFill>
          </w14:textFill>
        </w:rPr>
        <w:t>围绕市域副中心定位，用足用活海工基地和植物龙等省级农业产业园带来辐射效应，同步加快碣石产业园建设，推进圣诞品等传统产业转型,加快经济腾飞发展。结合乡村振兴滨海走廊示范带建设项目，大力推动</w:t>
      </w:r>
      <w:r>
        <w:rPr>
          <w:rFonts w:ascii="仿宋_GB2312" w:hAnsi="仿宋_GB2312" w:eastAsia="仿宋_GB2312" w:cs="仿宋_GB2312"/>
          <w:color w:val="000000" w:themeColor="text1"/>
          <w:sz w:val="32"/>
          <w:szCs w:val="40"/>
          <w:highlight w:val="none"/>
          <w14:textFill>
            <w14:solidFill>
              <w14:schemeClr w14:val="tx1"/>
            </w14:solidFill>
          </w14:textFill>
        </w:rPr>
        <w:t>玄武山-浅澳度假旅游示范区项目</w:t>
      </w:r>
      <w:r>
        <w:rPr>
          <w:rFonts w:hint="eastAsia" w:ascii="仿宋_GB2312" w:hAnsi="仿宋_GB2312" w:eastAsia="仿宋_GB2312" w:cs="仿宋_GB2312"/>
          <w:color w:val="000000" w:themeColor="text1"/>
          <w:sz w:val="32"/>
          <w:szCs w:val="40"/>
          <w:highlight w:val="none"/>
          <w14:textFill>
            <w14:solidFill>
              <w14:schemeClr w14:val="tx1"/>
            </w14:solidFill>
          </w14:textFill>
        </w:rPr>
        <w:t>，带动餐饮、民宿等新产业经济发展，培育新的经济增长点。加快碣南大道等升级改造和</w:t>
      </w:r>
      <w:r>
        <w:rPr>
          <w:rFonts w:ascii="仿宋_GB2312" w:hAnsi="仿宋_GB2312" w:eastAsia="仿宋_GB2312" w:cs="仿宋_GB2312"/>
          <w:color w:val="000000" w:themeColor="text1"/>
          <w:sz w:val="32"/>
          <w:szCs w:val="40"/>
          <w:highlight w:val="none"/>
          <w14:textFill>
            <w14:solidFill>
              <w14:schemeClr w14:val="tx1"/>
            </w14:solidFill>
          </w14:textFill>
        </w:rPr>
        <w:t>内外环路</w:t>
      </w:r>
      <w:r>
        <w:rPr>
          <w:rFonts w:hint="eastAsia" w:ascii="仿宋_GB2312" w:hAnsi="仿宋_GB2312" w:eastAsia="仿宋_GB2312" w:cs="仿宋_GB2312"/>
          <w:color w:val="000000" w:themeColor="text1"/>
          <w:sz w:val="32"/>
          <w:szCs w:val="40"/>
          <w:highlight w:val="none"/>
          <w14:textFill>
            <w14:solidFill>
              <w14:schemeClr w14:val="tx1"/>
            </w14:solidFill>
          </w14:textFill>
        </w:rPr>
        <w:t>建设，发挥12个村垃圾分类示范点带动作用，推进陆丰市碣石镇老旧小区改造项目建设,促进产、城、乡一体发展，走出“碣石模式”裂变发展路子。</w:t>
      </w:r>
    </w:p>
    <w:p>
      <w:pPr>
        <w:ind w:firstLine="643" w:firstLineChars="200"/>
        <w:jc w:val="both"/>
        <w:rPr>
          <w:rFonts w:hint="eastAsia" w:ascii="仿宋_GB2312" w:hAnsi="仿宋_GB2312" w:eastAsia="仿宋_GB2312" w:cs="仿宋_GB2312"/>
          <w:color w:val="000000" w:themeColor="text1"/>
          <w:sz w:val="32"/>
          <w:szCs w:val="40"/>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湖东镇</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40"/>
          <w:highlight w:val="none"/>
          <w14:textFill>
            <w14:solidFill>
              <w14:schemeClr w14:val="tx1"/>
            </w14:solidFill>
          </w14:textFill>
        </w:rPr>
        <w:t>发挥港湾镇的地理优势，加快推进湖东三洲澳LNG专用码头建设、陆丰市渔港经济区项目前期工作，全面激活海洋资源。要谋划打造好农产品交易市场及冷链物流基地，推动中南药基地省级龙头企业投产达效，盘活渡海处红色革命基地旅游效应，实现海洋经济和农工贸一体发展。</w:t>
      </w:r>
    </w:p>
    <w:p>
      <w:pPr>
        <w:ind w:firstLine="643" w:firstLineChars="200"/>
        <w:jc w:val="both"/>
        <w:rPr>
          <w:rFonts w:hint="eastAsia" w:ascii="仿宋_GB2312" w:hAnsi="仿宋_GB2312" w:eastAsia="仿宋_GB2312" w:cs="仿宋_GB2312"/>
          <w:color w:val="000000" w:themeColor="text1"/>
          <w:sz w:val="32"/>
          <w:szCs w:val="40"/>
          <w:highlight w:val="none"/>
          <w14:textFill>
            <w14:solidFill>
              <w14:schemeClr w14:val="tx1"/>
            </w14:solidFill>
          </w14:textFill>
        </w:rPr>
      </w:pPr>
      <w:r>
        <w:rPr>
          <w:rFonts w:hint="eastAsia" w:ascii="仿宋_GB2312" w:hAnsi="仿宋_GB2312" w:eastAsia="仿宋_GB2312" w:cs="仿宋_GB2312"/>
          <w:b/>
          <w:color w:val="000000" w:themeColor="text1"/>
          <w:sz w:val="32"/>
          <w:szCs w:val="40"/>
          <w:highlight w:val="none"/>
          <w14:textFill>
            <w14:solidFill>
              <w14:schemeClr w14:val="tx1"/>
            </w14:solidFill>
          </w14:textFill>
        </w:rPr>
        <w:t>甲子镇</w:t>
      </w:r>
      <w:r>
        <w:rPr>
          <w:rFonts w:hint="eastAsia" w:ascii="仿宋_GB2312" w:hAnsi="仿宋_GB2312" w:eastAsia="仿宋_GB2312" w:cs="仿宋_GB2312"/>
          <w:b/>
          <w:color w:val="000000" w:themeColor="text1"/>
          <w:sz w:val="32"/>
          <w:szCs w:val="40"/>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40"/>
          <w:highlight w:val="none"/>
          <w14:textFill>
            <w14:solidFill>
              <w14:schemeClr w14:val="tx1"/>
            </w14:solidFill>
          </w14:textFill>
        </w:rPr>
        <w:t>以镇区基础设施建设为重点，</w:t>
      </w:r>
      <w:r>
        <w:rPr>
          <w:rFonts w:hint="eastAsia" w:ascii="仿宋_GB2312" w:hAnsi="仿宋_GB2312" w:eastAsia="仿宋_GB2312" w:cs="仿宋_GB2312"/>
          <w:color w:val="000000" w:themeColor="text1"/>
          <w:sz w:val="32"/>
          <w:szCs w:val="32"/>
          <w:highlight w:val="none"/>
          <w14:textFill>
            <w14:solidFill>
              <w14:schemeClr w14:val="tx1"/>
            </w14:solidFill>
          </w14:textFill>
        </w:rPr>
        <w:t>加快</w:t>
      </w:r>
      <w:r>
        <w:rPr>
          <w:rFonts w:hint="eastAsia" w:ascii="仿宋_GB2312" w:eastAsia="仿宋_GB2312" w:cs="仿宋_GB2312"/>
          <w:color w:val="000000" w:themeColor="text1"/>
          <w:sz w:val="32"/>
          <w:szCs w:val="32"/>
          <w:highlight w:val="none"/>
          <w14:textFill>
            <w14:solidFill>
              <w14:schemeClr w14:val="tx1"/>
            </w14:solidFill>
          </w14:textFill>
        </w:rPr>
        <w:t>城镇排涝系统整治改造、</w:t>
      </w:r>
      <w:r>
        <w:rPr>
          <w:rFonts w:hint="eastAsia" w:ascii="仿宋_GB2312" w:hAnsi="仿宋_GB2312" w:eastAsia="仿宋_GB2312" w:cs="仿宋_GB2312"/>
          <w:color w:val="000000" w:themeColor="text1"/>
          <w:sz w:val="32"/>
          <w:szCs w:val="32"/>
          <w:highlight w:val="none"/>
          <w14:textFill>
            <w14:solidFill>
              <w14:schemeClr w14:val="tx1"/>
            </w14:solidFill>
          </w14:textFill>
        </w:rPr>
        <w:t>国道228线甲子至南塘段等建设。同时推动甲子渔港综合功能开发，</w:t>
      </w:r>
      <w:r>
        <w:rPr>
          <w:rFonts w:hint="eastAsia" w:ascii="仿宋_GB2312" w:eastAsia="仿宋_GB2312"/>
          <w:color w:val="000000" w:themeColor="text1"/>
          <w:sz w:val="32"/>
          <w:szCs w:val="32"/>
          <w:highlight w:val="none"/>
          <w14:textFill>
            <w14:solidFill>
              <w14:schemeClr w14:val="tx1"/>
            </w14:solidFill>
          </w14:textFill>
        </w:rPr>
        <w:t>发展远洋捕捞渔业和水产品精细加工业，激活商贸、物流，以“中间”带“两边”促进“三甲”地区一体化发展。</w:t>
      </w:r>
    </w:p>
    <w:p>
      <w:pPr>
        <w:ind w:firstLine="643" w:firstLineChars="200"/>
        <w:jc w:val="both"/>
        <w:rPr>
          <w:rFonts w:hint="eastAsia" w:ascii="仿宋_GB2312" w:hAnsi="仿宋_GB2312" w:eastAsia="仿宋_GB2312" w:cs="仿宋_GB2312"/>
          <w:color w:val="000000" w:themeColor="text1"/>
          <w:sz w:val="32"/>
          <w:highlight w:val="none"/>
          <w:lang w:val="zh-CN"/>
          <w14:textFill>
            <w14:solidFill>
              <w14:schemeClr w14:val="tx1"/>
            </w14:solidFill>
          </w14:textFill>
        </w:rPr>
      </w:pPr>
      <w:r>
        <w:rPr>
          <w:rFonts w:hint="eastAsia" w:ascii="仿宋_GB2312" w:hAnsi="仿宋_GB2312" w:eastAsia="仿宋_GB2312" w:cs="仿宋_GB2312"/>
          <w:b/>
          <w:color w:val="000000" w:themeColor="text1"/>
          <w:sz w:val="32"/>
          <w:szCs w:val="40"/>
          <w:highlight w:val="none"/>
          <w14:textFill>
            <w14:solidFill>
              <w14:schemeClr w14:val="tx1"/>
            </w14:solidFill>
          </w14:textFill>
        </w:rPr>
        <w:t>甲西镇</w:t>
      </w:r>
      <w:r>
        <w:rPr>
          <w:rFonts w:hint="eastAsia" w:ascii="仿宋_GB2312" w:hAnsi="仿宋_GB2312" w:eastAsia="仿宋_GB2312" w:cs="仿宋_GB2312"/>
          <w:b/>
          <w:color w:val="000000" w:themeColor="text1"/>
          <w:sz w:val="32"/>
          <w:szCs w:val="40"/>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40"/>
          <w:highlight w:val="none"/>
          <w14:textFill>
            <w14:solidFill>
              <w14:schemeClr w14:val="tx1"/>
            </w14:solidFill>
          </w14:textFill>
        </w:rPr>
        <w:t>充分利用人口、土地等资源优势，</w:t>
      </w:r>
      <w:r>
        <w:rPr>
          <w:rFonts w:hint="eastAsia" w:ascii="仿宋_GB2312" w:hAnsi="仿宋_GB2312" w:eastAsia="仿宋_GB2312" w:cs="仿宋_GB2312"/>
          <w:color w:val="000000" w:themeColor="text1"/>
          <w:sz w:val="32"/>
          <w:highlight w:val="none"/>
          <w:lang w:val="zh-CN"/>
          <w14:textFill>
            <w14:solidFill>
              <w14:schemeClr w14:val="tx1"/>
            </w14:solidFill>
          </w14:textFill>
        </w:rPr>
        <w:t>依托海甲岭山海风光、博社农旅融合生态示范园、禁毒示范基地以及教育城等项目建设，激活民宿酒店、农家乐和商贸等新消费。</w:t>
      </w:r>
    </w:p>
    <w:p>
      <w:pPr>
        <w:ind w:firstLine="643" w:firstLineChars="200"/>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highlight w:val="none"/>
          <w:lang w:val="zh-CN"/>
          <w14:textFill>
            <w14:solidFill>
              <w14:schemeClr w14:val="tx1"/>
            </w14:solidFill>
          </w14:textFill>
        </w:rPr>
        <w:t>甲东镇：</w:t>
      </w:r>
      <w:r>
        <w:rPr>
          <w:rFonts w:hint="eastAsia" w:ascii="仿宋_GB2312" w:hAnsi="仿宋_GB2312" w:eastAsia="仿宋_GB2312" w:cs="仿宋_GB2312"/>
          <w:color w:val="000000" w:themeColor="text1"/>
          <w:sz w:val="32"/>
          <w:highlight w:val="none"/>
          <w:lang w:val="zh-CN"/>
          <w14:textFill>
            <w14:solidFill>
              <w14:schemeClr w14:val="tx1"/>
            </w14:solidFill>
          </w14:textFill>
        </w:rPr>
        <w:t>紧紧抓住东海岸大南海石化拓展区和</w:t>
      </w:r>
      <w:r>
        <w:rPr>
          <w:rFonts w:hint="eastAsia" w:eastAsia="仿宋_GB2312"/>
          <w:color w:val="000000" w:themeColor="text1"/>
          <w:sz w:val="32"/>
          <w:szCs w:val="32"/>
          <w:highlight w:val="none"/>
          <w:lang w:eastAsia="zh-CN"/>
          <w14:textFill>
            <w14:solidFill>
              <w14:schemeClr w14:val="tx1"/>
            </w14:solidFill>
          </w14:textFill>
        </w:rPr>
        <w:t>三甲地区工业园区</w:t>
      </w:r>
      <w:r>
        <w:rPr>
          <w:rFonts w:hint="eastAsia" w:ascii="Times New Roman" w:hAnsi="Times New Roman" w:eastAsia="仿宋_GB2312"/>
          <w:color w:val="000000" w:themeColor="text1"/>
          <w:sz w:val="32"/>
          <w:szCs w:val="32"/>
          <w:highlight w:val="none"/>
          <w14:textFill>
            <w14:solidFill>
              <w14:schemeClr w14:val="tx1"/>
            </w14:solidFill>
          </w14:textFill>
        </w:rPr>
        <w:t>建设的黄金发展机会，同步加快</w:t>
      </w:r>
      <w:r>
        <w:rPr>
          <w:rFonts w:hint="eastAsia" w:ascii="仿宋_GB2312" w:hAnsi="仿宋_GB2312" w:eastAsia="仿宋_GB2312" w:cs="仿宋_GB2312"/>
          <w:color w:val="000000" w:themeColor="text1"/>
          <w:sz w:val="32"/>
          <w:szCs w:val="32"/>
          <w:highlight w:val="none"/>
          <w14:textFill>
            <w14:solidFill>
              <w14:schemeClr w14:val="tx1"/>
            </w14:solidFill>
          </w14:textFill>
        </w:rPr>
        <w:t>甲东中心道路升级改造、自来水管道升级工程等基础设施建设，谋划建设瀛江新城构建三甲新地标，促进产城融合、城乡一体发展，带动甲东经济实现新飞跃。</w:t>
      </w:r>
    </w:p>
    <w:p>
      <w:pPr>
        <w:ind w:firstLine="643" w:firstLineChars="200"/>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南塘镇</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依托中心镇地理区位优势和陆丰东站重大布局，加快民营工业园区、华山森林公园、南甲公路扩建、南塘外环路等项目建设，全力保证南塘物流园区完工投产，打造东翼物流中心，逐步形成集工、商、旅一体的驿站小镇。</w:t>
      </w:r>
    </w:p>
    <w:p>
      <w:pPr>
        <w:ind w:firstLine="643" w:firstLineChars="200"/>
        <w:jc w:val="both"/>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博美镇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充分发挥蔬菜、萝卜、莲藕等特色农产品的优势，通过打造“博美洋”万亩现代高科技农田和“荷塘夜色”农业生态休闲观光综合体，做大做强品牌型农业。</w:t>
      </w:r>
    </w:p>
    <w:p>
      <w:pPr>
        <w:ind w:firstLine="643" w:firstLineChars="200"/>
        <w:jc w:val="both"/>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内湖镇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加快</w:t>
      </w:r>
      <w:r>
        <w:rPr>
          <w:rFonts w:hint="eastAsia" w:ascii="仿宋_GB2312" w:hAnsi="仿宋_GB2312" w:eastAsia="仿宋_GB2312" w:cs="仿宋_GB2312"/>
          <w:color w:val="000000" w:themeColor="text1"/>
          <w:sz w:val="32"/>
          <w:szCs w:val="32"/>
          <w:highlight w:val="none"/>
          <w14:textFill>
            <w14:solidFill>
              <w14:schemeClr w14:val="tx1"/>
            </w14:solidFill>
          </w14:textFill>
        </w:rPr>
        <w:t>配齐农业基础设施，发挥乡贤优势引进发展资金和创新技术，结合电商等平台加快将番薯、甜玉米等特色农产品推向市场，走出一条都市型农业的新路子。</w:t>
      </w:r>
    </w:p>
    <w:p>
      <w:pPr>
        <w:ind w:firstLine="645"/>
        <w:jc w:val="both"/>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桥冲镇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加快二千亩流转土地开发，推进白沙至后冲万亩养殖基地建设打造特色农业品牌，同时确保渔光互补电站项目今年完工投产。将溪碧周恩来治病处、观音山、大塘前后兵部历史和骑楼以及大塘至后冲田园综合体等“红、绿、古、特”特色旅游景观串珠成链，激活镇域经济新增长点。</w:t>
      </w:r>
    </w:p>
    <w:p>
      <w:pPr>
        <w:ind w:firstLine="645"/>
        <w:jc w:val="both"/>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大安镇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结合</w:t>
      </w:r>
      <w:r>
        <w:rPr>
          <w:rFonts w:hint="eastAsia" w:ascii="仿宋_GB2312" w:hAnsi="仿宋_GB2312" w:eastAsia="仿宋_GB2312" w:cs="仿宋_GB2312"/>
          <w:color w:val="000000" w:themeColor="text1"/>
          <w:sz w:val="32"/>
          <w:szCs w:val="32"/>
          <w:highlight w:val="none"/>
          <w14:textFill>
            <w14:solidFill>
              <w14:schemeClr w14:val="tx1"/>
            </w14:solidFill>
          </w14:textFill>
        </w:rPr>
        <w:t>农业休闲观光示范带的建设，串联陆军村老县址、石寨古村落等特色旅游资源，带活餐饮、民宿、田园休闲游等消费，打开裂变发展新局面。</w:t>
      </w:r>
    </w:p>
    <w:p>
      <w:pPr>
        <w:keepNext w:val="0"/>
        <w:keepLines w:val="0"/>
        <w:pageBreakBefore w:val="0"/>
        <w:widowControl w:val="0"/>
        <w:kinsoku/>
        <w:wordWrap/>
        <w:overflowPunct/>
        <w:topLinePunct w:val="0"/>
        <w:autoSpaceDE/>
        <w:autoSpaceDN/>
        <w:bidi w:val="0"/>
        <w:adjustRightInd/>
        <w:snapToGrid/>
        <w:spacing w:line="600" w:lineRule="exact"/>
        <w:ind w:firstLine="645"/>
        <w:jc w:val="both"/>
        <w:textAlignment w:val="auto"/>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八万镇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以打造省级“森林小镇”为主要抓手，</w:t>
      </w:r>
      <w:r>
        <w:rPr>
          <w:rFonts w:hint="eastAsia" w:ascii="仿宋_GB2312" w:hAnsi="宋体" w:eastAsia="仿宋_GB2312"/>
          <w:color w:val="000000" w:themeColor="text1"/>
          <w:sz w:val="32"/>
          <w:szCs w:val="32"/>
          <w:highlight w:val="none"/>
          <w14:textFill>
            <w14:solidFill>
              <w14:schemeClr w14:val="tx1"/>
            </w14:solidFill>
          </w14:textFill>
        </w:rPr>
        <w:t>加快推进八万河两岸绿道建设工程，扩大牛大力中药材种植和“集装箱养鱼”的规模，大力</w:t>
      </w:r>
      <w:r>
        <w:rPr>
          <w:rFonts w:hint="eastAsia" w:ascii="仿宋_GB2312" w:hAnsi="仿宋_GB2312" w:eastAsia="仿宋_GB2312" w:cs="仿宋_GB2312"/>
          <w:color w:val="000000" w:themeColor="text1"/>
          <w:sz w:val="32"/>
          <w:szCs w:val="32"/>
          <w:highlight w:val="none"/>
          <w14:textFill>
            <w14:solidFill>
              <w14:schemeClr w14:val="tx1"/>
            </w14:solidFill>
          </w14:textFill>
        </w:rPr>
        <w:t>发展农家园林型、花园客栈型“农家乐”，形成生态旅游和森林康养为中心的新产业经济。</w:t>
      </w:r>
    </w:p>
    <w:p>
      <w:pPr>
        <w:keepNext w:val="0"/>
        <w:keepLines w:val="0"/>
        <w:pageBreakBefore w:val="0"/>
        <w:widowControl w:val="0"/>
        <w:kinsoku/>
        <w:wordWrap/>
        <w:overflowPunct/>
        <w:topLinePunct w:val="0"/>
        <w:autoSpaceDE/>
        <w:autoSpaceDN/>
        <w:bidi w:val="0"/>
        <w:adjustRightInd/>
        <w:snapToGrid/>
        <w:spacing w:line="600" w:lineRule="exact"/>
        <w:ind w:firstLine="63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西南镇</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加快推动全镇</w:t>
      </w:r>
      <w:r>
        <w:rPr>
          <w:rFonts w:hint="eastAsia" w:ascii="仿宋_GB2312" w:hAnsi="仿宋_GB2312" w:eastAsia="仿宋_GB2312" w:cs="仿宋_GB2312"/>
          <w:color w:val="000000" w:themeColor="text1"/>
          <w:sz w:val="32"/>
          <w:szCs w:val="32"/>
          <w:highlight w:val="none"/>
          <w14:textFill>
            <w14:solidFill>
              <w14:schemeClr w14:val="tx1"/>
            </w14:solidFill>
          </w14:textFill>
        </w:rPr>
        <w:t>撂荒耕地“万亩流转”，以打造青塘丝苗米基地为重点，</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加快青塘村“美丽乡村”示范村建设。要跳出山外看山里，</w:t>
      </w:r>
      <w:r>
        <w:rPr>
          <w:rFonts w:hint="eastAsia" w:ascii="仿宋_GB2312" w:hAnsi="仿宋_GB2312" w:eastAsia="仿宋_GB2312" w:cs="仿宋_GB2312"/>
          <w:color w:val="000000" w:themeColor="text1"/>
          <w:sz w:val="32"/>
          <w:szCs w:val="32"/>
          <w:highlight w:val="none"/>
          <w14:textFill>
            <w14:solidFill>
              <w14:schemeClr w14:val="tx1"/>
            </w14:solidFill>
          </w14:textFill>
        </w:rPr>
        <w:t>借助潮惠高速出口以及省道510线建设的发展契机，加强配套设施建设，谋划好 “大物流中心”，发展黄塘嶂、石门坑水库一带生态旅游。</w:t>
      </w:r>
    </w:p>
    <w:p>
      <w:pPr>
        <w:keepNext w:val="0"/>
        <w:keepLines w:val="0"/>
        <w:pageBreakBefore w:val="0"/>
        <w:widowControl w:val="0"/>
        <w:kinsoku/>
        <w:wordWrap/>
        <w:overflowPunct/>
        <w:topLinePunct w:val="0"/>
        <w:autoSpaceDE/>
        <w:autoSpaceDN/>
        <w:bidi w:val="0"/>
        <w:adjustRightInd/>
        <w:snapToGrid/>
        <w:spacing w:line="600" w:lineRule="exact"/>
        <w:ind w:firstLine="63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陂洋镇</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强化土地综合整治试点镇担当作为，当好全市排头兵。立足菠萝、荔枝等特色水果，激活内洋瀑布、芹洋红军烈士纪念碑（红色旅游）等旅游效应，加快推向“双区”市场。同时要确保陂洋镇飞灰填埋场项目今年投产达效。</w:t>
      </w:r>
    </w:p>
    <w:p>
      <w:pPr>
        <w:keepNext w:val="0"/>
        <w:keepLines w:val="0"/>
        <w:pageBreakBefore w:val="0"/>
        <w:widowControl w:val="0"/>
        <w:kinsoku/>
        <w:wordWrap/>
        <w:overflowPunct/>
        <w:topLinePunct w:val="0"/>
        <w:autoSpaceDE/>
        <w:autoSpaceDN/>
        <w:bidi w:val="0"/>
        <w:adjustRightInd/>
        <w:snapToGrid/>
        <w:spacing w:line="600" w:lineRule="exact"/>
        <w:ind w:firstLine="630"/>
        <w:jc w:val="both"/>
        <w:textAlignment w:val="auto"/>
        <w:rPr>
          <w:rFonts w:hint="eastAsia" w:ascii="仿宋_GB2312" w:hAnsi="仿宋_GB2312" w:eastAsia="仿宋_GB2312" w:cs="仿宋_GB2312"/>
          <w:color w:val="000000" w:themeColor="text1"/>
          <w:sz w:val="32"/>
          <w:szCs w:val="40"/>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shd w:val="clear" w:color="auto" w:fill="FFFFFF"/>
          <w14:textFill>
            <w14:solidFill>
              <w14:schemeClr w14:val="tx1"/>
            </w14:solidFill>
          </w14:textFill>
        </w:rPr>
        <w:t>大安农场</w:t>
      </w:r>
      <w:r>
        <w:rPr>
          <w:rFonts w:hint="eastAsia" w:ascii="仿宋_GB2312" w:hAnsi="仿宋_GB2312" w:eastAsia="仿宋_GB2312" w:cs="仿宋_GB2312"/>
          <w:b/>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发展壮大特色农业品牌，打造集</w:t>
      </w:r>
      <w:r>
        <w:rPr>
          <w:rFonts w:hint="eastAsia" w:ascii="仿宋_GB2312" w:hAnsi="仿宋_GB2312" w:eastAsia="仿宋_GB2312" w:cs="仿宋_GB2312"/>
          <w:color w:val="000000" w:themeColor="text1"/>
          <w:sz w:val="32"/>
          <w:szCs w:val="40"/>
          <w:highlight w:val="none"/>
          <w14:textFill>
            <w14:solidFill>
              <w14:schemeClr w14:val="tx1"/>
            </w14:solidFill>
          </w14:textFill>
        </w:rPr>
        <w:t>休闲旅游观光为一体的生态橡胶公园，形成亲子游、家庭游为特色的奶牛养殖园休闲娱乐好去处，</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用新思路走出特色农业、品牌农业的新路子。</w:t>
      </w:r>
    </w:p>
    <w:p>
      <w:pPr>
        <w:spacing w:line="600" w:lineRule="exact"/>
        <w:ind w:firstLine="63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铜锣湖农场</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加快推进比德能源有限公司二期项目投产达效，在做优橡胶、奶牛牧场的同时，让更多优势农副产品贴上“陆丰”标签，走进“双区”每个家庭的餐桌。</w:t>
      </w:r>
    </w:p>
    <w:p>
      <w:pPr>
        <w:spacing w:line="200" w:lineRule="exact"/>
        <w:ind w:firstLine="629"/>
        <w:rPr>
          <w:rFonts w:hint="eastAsia" w:ascii="仿宋_GB2312" w:hAnsi="仿宋_GB2312" w:eastAsia="仿宋_GB2312" w:cs="仿宋_GB2312"/>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1"/>
        <w:rPr>
          <w:rFonts w:hint="eastAsia" w:ascii="黑体" w:hAnsi="黑体" w:eastAsia="黑体" w:cs="仿宋"/>
          <w:color w:val="000000" w:themeColor="text1"/>
          <w:sz w:val="32"/>
          <w:szCs w:val="32"/>
          <w:highlight w:val="none"/>
          <w:lang w:val="zh-CN"/>
          <w14:textFill>
            <w14:solidFill>
              <w14:schemeClr w14:val="tx1"/>
            </w14:solidFill>
          </w14:textFill>
        </w:rPr>
      </w:pPr>
      <w:bookmarkStart w:id="182" w:name="_Toc28229"/>
      <w:bookmarkStart w:id="183" w:name="_Toc254"/>
      <w:bookmarkStart w:id="184" w:name="_Toc22774"/>
      <w:bookmarkStart w:id="185" w:name="_Toc26349"/>
      <w:r>
        <w:rPr>
          <w:rFonts w:hint="eastAsia" w:ascii="黑体" w:hAnsi="黑体" w:eastAsia="黑体" w:cs="仿宋"/>
          <w:color w:val="000000" w:themeColor="text1"/>
          <w:sz w:val="32"/>
          <w:szCs w:val="32"/>
          <w:highlight w:val="none"/>
          <w14:textFill>
            <w14:solidFill>
              <w14:schemeClr w14:val="tx1"/>
            </w14:solidFill>
          </w14:textFill>
        </w:rPr>
        <w:t xml:space="preserve">第五节 </w:t>
      </w:r>
      <w:r>
        <w:rPr>
          <w:rFonts w:hint="eastAsia" w:ascii="黑体" w:hAnsi="黑体" w:eastAsia="黑体" w:cs="仿宋"/>
          <w:color w:val="000000" w:themeColor="text1"/>
          <w:sz w:val="32"/>
          <w:szCs w:val="32"/>
          <w:highlight w:val="none"/>
          <w:lang w:val="zh-CN"/>
          <w14:textFill>
            <w14:solidFill>
              <w14:schemeClr w14:val="tx1"/>
            </w14:solidFill>
          </w14:textFill>
        </w:rPr>
        <w:t>全面推进以人为核心的新型城镇化</w:t>
      </w:r>
      <w:bookmarkEnd w:id="182"/>
    </w:p>
    <w:p>
      <w:pPr>
        <w:keepNext w:val="0"/>
        <w:keepLines w:val="0"/>
        <w:pageBreakBefore w:val="0"/>
        <w:widowControl/>
        <w:kinsoku/>
        <w:wordWrap/>
        <w:overflowPunct/>
        <w:topLinePunct w:val="0"/>
        <w:autoSpaceDE/>
        <w:autoSpaceDN/>
        <w:bidi w:val="0"/>
        <w:adjustRightInd/>
        <w:snapToGrid/>
        <w:spacing w:before="0" w:beforeAutospacing="0" w:after="0" w:afterAutospacing="0" w:line="59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实施城市更新行动，推进城市生态修复、功能完善工程，加快推进城市治理体系和治理能力现代化，使城市更健康、更安全、更宜居。加快城乡统筹发展，推动美丽乡村+城市大花园建设，围绕陆城形成连片田园综合体、城郊景观示范带等大地景观，将田园变公园，展示陆丰“城在螺河边、人在花园里”的美丽新形象。加强城镇老旧小区改造和社区建设，建立高质量城市生态系统，强化历史文化保护、塑造城市风貌，增强城市防洪排涝能力，建设海绵城市、韧性城市。坚持房子是用来住的、不是用来炒的定位，租购并举、因城施策，促进房地产市场平稳健康发展。</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00" w:lineRule="exact"/>
              <w:ind w:left="0" w:leftChars="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专栏9-4“五城联创”重点工程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1.创建广东省县级文明城市：</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开展创文“一月一主题”整治工作，</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深入推进</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十大整治、十大提升”专项行动；持续推进城乡移风易俗，围绕“文明祭扫”主题活动，推进移风易俗工作，实现全市推进移风易俗工作村（社区）全覆盖；深化拓展新时代文明实践活动，在全市打造1个新时代文明实践中心、23个新时代文明实践所和335个新时代文明实践站。</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2.亮点工程：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配合</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国家园林城市</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，提升城市景观档次，打造创建亮点，重点打造陆丰市乡村振兴滨海走廊示范带、陆丰市乡村振兴农业生态休闲观光示范带建设项目、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新时代市民广场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、碣石镇城市森林公园建设等亮点工程。</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3.升级改造工程：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结合城市</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，打造324国道、深汕高速公路、240省道陆丰段周边山体绿化景观及瀛江、金厢碧道建设工程。</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4.完善配套工程：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快“城市客厅”“城市展厅”“城市阳台”建设，以螺河为中心，向东西两岸拓展，不断扩大城区规模，完善中等城市基本框架，对接周边城市规划，实现三百米见绿、五百米见公园，推动区域、城乡统筹融合发展。</w:t>
            </w:r>
          </w:p>
          <w:p>
            <w:pPr>
              <w:snapToGrid/>
              <w:spacing w:before="0" w:beforeAutospacing="0" w:after="0" w:afterAutospacing="0" w:line="400" w:lineRule="exact"/>
              <w:ind w:firstLine="562" w:firstLineChars="200"/>
              <w:jc w:val="both"/>
              <w:textAlignment w:val="baseline"/>
              <w:rPr>
                <w:rFonts w:cs="宋体"/>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5.市政提质工程：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统筹推进老城区改造和新城区建设，合理布局公共设施，推进路网、污水管网、停车场、公共厕所、人行道、标志牌、景观绿化建设，疏浚城市水体、治理城市内涝，完善城市功</w:t>
            </w:r>
            <w:r>
              <w:rPr>
                <w:rFonts w:hint="eastAsia" w:cs="宋体"/>
                <w:b w:val="0"/>
                <w:i w:val="0"/>
                <w:caps w:val="0"/>
                <w:color w:val="000000" w:themeColor="text1"/>
                <w:spacing w:val="0"/>
                <w:w w:val="100"/>
                <w:sz w:val="28"/>
                <w:szCs w:val="28"/>
                <w:highlight w:val="none"/>
                <w:u w:val="none" w:color="auto"/>
                <w14:textFill>
                  <w14:solidFill>
                    <w14:schemeClr w14:val="tx1"/>
                  </w14:solidFill>
                </w14:textFill>
              </w:rPr>
              <w:t>能。</w:t>
            </w:r>
          </w:p>
          <w:p>
            <w:pPr>
              <w:snapToGrid/>
              <w:spacing w:before="0" w:beforeAutospacing="0" w:after="0" w:afterAutospacing="0" w:line="400" w:lineRule="exact"/>
              <w:ind w:firstLine="562" w:firstLineChars="200"/>
              <w:jc w:val="both"/>
              <w:textAlignment w:val="baseline"/>
              <w:rPr>
                <w:rFonts w:hint="eastAsia"/>
                <w:b w:val="0"/>
                <w:i w:val="0"/>
                <w:caps w:val="0"/>
                <w:color w:val="000000" w:themeColor="text1"/>
                <w:spacing w:val="0"/>
                <w:w w:val="100"/>
                <w:sz w:val="28"/>
                <w:szCs w:val="28"/>
                <w:highlight w:val="none"/>
                <w:u w:val="none" w:color="auto"/>
                <w:lang w:eastAsia="zh-CN"/>
                <w14:textFill>
                  <w14:solidFill>
                    <w14:schemeClr w14:val="tx1"/>
                  </w14:solidFill>
                </w14:textFill>
              </w:rPr>
            </w:pPr>
            <w:r>
              <w:rPr>
                <w:rFonts w:hint="eastAsia" w:cs="宋体"/>
                <w:b/>
                <w:bCs/>
                <w:i w:val="0"/>
                <w:caps w:val="0"/>
                <w:color w:val="000000" w:themeColor="text1"/>
                <w:spacing w:val="0"/>
                <w:w w:val="100"/>
                <w:sz w:val="28"/>
                <w:szCs w:val="28"/>
                <w:highlight w:val="none"/>
                <w:u w:val="none" w:color="auto"/>
                <w14:textFill>
                  <w14:solidFill>
                    <w14:schemeClr w14:val="tx1"/>
                  </w14:solidFill>
                </w14:textFill>
              </w:rPr>
              <w:t>6.协调完善工程：</w:t>
            </w:r>
            <w:r>
              <w:rPr>
                <w:rFonts w:hint="eastAsia" w:cs="宋体"/>
                <w:b w:val="0"/>
                <w:i w:val="0"/>
                <w:caps w:val="0"/>
                <w:color w:val="000000" w:themeColor="text1"/>
                <w:spacing w:val="0"/>
                <w:w w:val="100"/>
                <w:sz w:val="28"/>
                <w:szCs w:val="28"/>
                <w:highlight w:val="none"/>
                <w:u w:val="none" w:color="auto"/>
                <w14:textFill>
                  <w14:solidFill>
                    <w14:schemeClr w14:val="tx1"/>
                  </w14:solidFill>
                </w14:textFill>
              </w:rPr>
              <w:t>实施玉照市民康娱广场升级改造工程</w:t>
            </w:r>
            <w:r>
              <w:rPr>
                <w:rFonts w:hint="eastAsia" w:cs="宋体"/>
                <w:b w:val="0"/>
                <w:i w:val="0"/>
                <w:caps w:val="0"/>
                <w:color w:val="000000" w:themeColor="text1"/>
                <w:spacing w:val="0"/>
                <w:w w:val="100"/>
                <w:sz w:val="28"/>
                <w:szCs w:val="28"/>
                <w:highlight w:val="none"/>
                <w:u w:val="none" w:color="auto"/>
                <w:lang w:eastAsia="zh-CN"/>
                <w14:textFill>
                  <w14:solidFill>
                    <w14:schemeClr w14:val="tx1"/>
                  </w14:solidFill>
                </w14:textFill>
              </w:rPr>
              <w:t>。</w:t>
            </w:r>
          </w:p>
        </w:tc>
      </w:tr>
    </w:tbl>
    <w:p>
      <w:pPr>
        <w:adjustRightInd w:val="0"/>
        <w:snapToGrid w:val="0"/>
        <w:spacing w:line="300" w:lineRule="exact"/>
        <w:jc w:val="both"/>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pPr>
      <w:bookmarkStart w:id="186" w:name="_Toc13491"/>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第十章 夯实文化事业和文化产业基础，不断满足人民文化需求</w:t>
      </w:r>
      <w:bookmarkEnd w:id="186"/>
    </w:p>
    <w:p>
      <w:pPr>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以满足</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人民群众文化需求为引导，推动文化设施补短板，促进文化体制机制创新完善，引导全市文化事业产业高质量发展。激发文化创新创造活力，打造一批特色的文艺作品，不断提高陆丰文化影响力，推动我市文化繁荣兴盛。</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87" w:name="_Toc5267"/>
      <w:r>
        <w:rPr>
          <w:rFonts w:hint="eastAsia" w:ascii="黑体" w:hAnsi="黑体" w:eastAsia="黑体" w:cs="仿宋"/>
          <w:color w:val="000000" w:themeColor="text1"/>
          <w:sz w:val="32"/>
          <w:szCs w:val="32"/>
          <w:highlight w:val="none"/>
          <w14:textFill>
            <w14:solidFill>
              <w14:schemeClr w14:val="tx1"/>
            </w14:solidFill>
          </w14:textFill>
        </w:rPr>
        <w:t>第一节 全面加强意识形态工作</w:t>
      </w:r>
      <w:bookmarkEnd w:id="187"/>
    </w:p>
    <w:p>
      <w:pPr>
        <w:widowControl/>
        <w:snapToGrid/>
        <w:spacing w:before="0" w:beforeAutospacing="0" w:after="0" w:afterAutospacing="0" w:line="600" w:lineRule="exact"/>
        <w:ind w:firstLine="640"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坚持马克思主义在意识形态领域的指导地位，严格落实意识形态工作责任制。深化党的创新理论学习教育，推动学习贯彻习近平新时代中国特色社会主义思想常态化制度化。健全重大舆情和突发事件舆论引导机制，强化网络意识形态阵地建设和管理，建立健全网络政治安全监测预警、网上突发热点敏感舆情管控机制，持续净化网络环境。加强网络内容建设，加强主流媒体传播力、公信力、影响力和舆论能力建设，唱响主旋律，传播正能量。加强关键信息基础设施保护，推进党政机关互联网安全工程建设，落实网络安全认证认可、网络产品和服务安全审查等规定。完善网络安全事件应急预案，建立全市网络安全应急指挥体系。推进传统媒体和新兴媒体深度融合发展，占领意识形态制高点，牢牢守住意识形态“南大门”。</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88" w:name="_Toc15592"/>
      <w:r>
        <w:rPr>
          <w:rFonts w:hint="eastAsia" w:ascii="黑体" w:hAnsi="黑体" w:eastAsia="黑体" w:cs="仿宋"/>
          <w:color w:val="000000" w:themeColor="text1"/>
          <w:sz w:val="32"/>
          <w:szCs w:val="32"/>
          <w:highlight w:val="none"/>
          <w14:textFill>
            <w14:solidFill>
              <w14:schemeClr w14:val="tx1"/>
            </w14:solidFill>
          </w14:textFill>
        </w:rPr>
        <w:t>第二节 加快提高社会文明程度</w:t>
      </w:r>
      <w:bookmarkEnd w:id="188"/>
    </w:p>
    <w:p>
      <w:pPr>
        <w:widowControl/>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——持续培育和践行社会主义核心价值观。</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坚持“以文化人”，打造陆丰“善文化”内核和标识，坚持以法治和德治相结合推进城乡移风易俗，争创全国文明城市提名城市，形成适应新时代要求的思想观念、精神面貌、文明风尚、行为规范。推动理想信念教育常态化制度化，加强党史、新中国史、改革开放史、社会主义发展史、海陆丰革命史教育，加强爱国主义、集体主义、社会主义教育，大力弘扬民族精神、时代精神和海陆丰革命老区精神，推进公民道德建设特别是未成年人思想道德建设，实施文明创建工程，拓展新时代文明实践中心建设。弘扬诚信文化，推进诚信建设。提倡艰苦奋斗、勤俭节约，开展以劳动创造幸福为主题的宣传教育。加强家庭、家教、家风建设。加强网络文明建设，发展积极健康的网络文化。加强志愿服务体系建设，健全志愿服务常态化、多元化、专业化制度，让志愿服务成为一道靓丽风景线。</w:t>
      </w:r>
    </w:p>
    <w:p>
      <w:pPr>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lang w:val="zh-CN"/>
          <w14:textFill>
            <w14:solidFill>
              <w14:schemeClr w14:val="tx1"/>
            </w14:solidFill>
          </w14:textFill>
        </w:rPr>
        <w:t>——全力推进“创文”“创卫”工作。</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以创建国家级卫生县城和省级文明城市为目标，持续推进“十大整治、十大提升”行动，全面提升城市环境品质。推进干线公路、背街小巷、集贸市场卫生环境整治，严厉打击违法建设，大力整治交通秩序提升城市公共文明水平。继续推进美化绿化亮化工程，加强城市建筑外立面管理。加大宣传力度，增强市民文明意识，全民携手，共创文明，实现创建省文明城市目标。</w:t>
      </w:r>
    </w:p>
    <w:p>
      <w:pPr>
        <w:adjustRightInd w:val="0"/>
        <w:snapToGrid w:val="0"/>
        <w:spacing w:line="6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89" w:name="_Toc1982"/>
      <w:r>
        <w:rPr>
          <w:rFonts w:hint="eastAsia" w:ascii="黑体" w:hAnsi="黑体" w:eastAsia="黑体" w:cs="仿宋"/>
          <w:color w:val="000000" w:themeColor="text1"/>
          <w:sz w:val="32"/>
          <w:szCs w:val="32"/>
          <w:highlight w:val="none"/>
          <w14:textFill>
            <w14:solidFill>
              <w14:schemeClr w14:val="tx1"/>
            </w14:solidFill>
          </w14:textFill>
        </w:rPr>
        <w:t>第三节 深入挖掘和保护红色文化</w:t>
      </w:r>
      <w:bookmarkEnd w:id="189"/>
    </w:p>
    <w:p>
      <w:pPr>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——挖掘提升陆丰红色文化内涵和品位。</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依托我市独特的红色资源，响应汕尾“红色农运摇篮”的号召，加强对红色文化历史的深度研究和精神价值的挖掘提炼，提炼和丰富海陆丰革命历史精神和内容，形成陆丰革命精神，激励现代社会正能量的发展。加快整合我市各红色旅游资源，全市各地加大投入完善配套红色旅游点，鼓励有条件的红色旅游点如金厢下埔村创建国家A级景区，提高拟打造旅游线路的文化内涵与吸引力，全力推进陆丰红色旅游的发展，进一步提升陆丰红色旅游的影响力，擦亮陆丰红色旅游品牌。</w:t>
      </w:r>
    </w:p>
    <w:p>
      <w:pPr>
        <w:snapToGrid/>
        <w:spacing w:before="0" w:beforeAutospacing="0" w:after="0" w:afterAutospacing="0" w:line="600" w:lineRule="exact"/>
        <w:ind w:firstLine="643" w:firstLineChars="200"/>
        <w:jc w:val="both"/>
        <w:textAlignment w:val="baseline"/>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——强化红色资源开发力度。</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深度开发周恩来养病旧址、虎洞藏身处、渡海处、陆丰农会旧址、碣石红二师作战指挥旧址、龙山烈士陵园等红色旅游资源，深度开发遗址遗迹、红色基因培育等项目，建成粤东滨海爱国主义教育与体验基地，并</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与</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海丰红宫、红场形成联动。</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加大107处红色革命遗址保护和修复，重点加大</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龙山烈士陵园、陆丰六驿总农会旧址、潭涌七乡点农会旧址、张威</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遗址</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、洗鱼溪烈士</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遗址</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、八万红色交通站等基础</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条件较好的红色历史遗址</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，进一步修缮提升</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品质，重点推进陆丰市107个红色革命遗址修缮修复项目</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加快</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陂洋镇芹菜洋-八万镇割窝红军烈士遗址、八万镇红军纪念广场、东纵红六团成立旧址、河西镇交通站等基础较差</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遗址</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前期投入。</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积极打造</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红色系列旅游产品</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突出滨海</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风格</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特点</w:t>
      </w:r>
      <w:r>
        <w:rPr>
          <w:rFonts w:hint="eastAsia" w:ascii="仿宋_GB2312" w:eastAsia="仿宋_GB2312"/>
          <w:b w:val="0"/>
          <w:i w:val="0"/>
          <w:caps w:val="0"/>
          <w:color w:val="000000" w:themeColor="text1"/>
          <w:spacing w:val="0"/>
          <w:w w:val="100"/>
          <w:sz w:val="32"/>
          <w:szCs w:val="32"/>
          <w:highlight w:val="none"/>
          <w:u w:val="none" w:color="auto"/>
          <w:lang w:eastAsia="zh-CN"/>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串珠成线，推动建设南昌起义部队（领导人转移史）、南昌起义军部队转移和农会斗争史（陆丰党组织和农会组织）三个红色革命路线。</w:t>
      </w:r>
    </w:p>
    <w:p>
      <w:pPr>
        <w:pStyle w:val="2"/>
        <w:rPr>
          <w:rFonts w:hint="eastAsia"/>
          <w:color w:val="000000" w:themeColor="text1"/>
          <w:highlight w:val="none"/>
          <w14:textFill>
            <w14:solidFill>
              <w14:schemeClr w14:val="tx1"/>
            </w14:solidFill>
          </w14:textFill>
        </w:rPr>
      </w:pP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80" w:lineRule="auto"/>
              <w:ind w:left="0" w:leftChars="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专栏10-1：弘扬红色文化重点工程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400" w:lineRule="exact"/>
              <w:ind w:firstLine="562" w:firstLineChars="200"/>
              <w:rPr>
                <w:rFonts w:hint="eastAsia" w:ascii="宋体" w:hAnsi="宋体" w:eastAsiaTheme="minorEastAsia" w:cstheme="minorBidi"/>
                <w:color w:val="000000" w:themeColor="text1"/>
                <w:sz w:val="28"/>
                <w:szCs w:val="28"/>
                <w:highlight w:val="none"/>
                <w14:textFill>
                  <w14:solidFill>
                    <w14:schemeClr w14:val="tx1"/>
                  </w14:solidFill>
                </w14:textFill>
              </w:rPr>
            </w:pPr>
            <w:r>
              <w:rPr>
                <w:rFonts w:hint="eastAsia" w:ascii="宋体" w:hAnsi="宋体" w:eastAsiaTheme="minorEastAsia" w:cstheme="minorBidi"/>
                <w:b/>
                <w:bCs/>
                <w:color w:val="000000" w:themeColor="text1"/>
                <w:sz w:val="28"/>
                <w:szCs w:val="28"/>
                <w:highlight w:val="none"/>
                <w14:textFill>
                  <w14:solidFill>
                    <w14:schemeClr w14:val="tx1"/>
                  </w14:solidFill>
                </w14:textFill>
              </w:rPr>
              <w:t>1.红色文物抢救、整理、保护和维修：</w:t>
            </w:r>
            <w:r>
              <w:rPr>
                <w:rFonts w:hint="eastAsia" w:ascii="宋体" w:hAnsi="宋体" w:eastAsiaTheme="minorEastAsia" w:cstheme="minorBidi"/>
                <w:color w:val="000000" w:themeColor="text1"/>
                <w:sz w:val="28"/>
                <w:szCs w:val="28"/>
                <w:highlight w:val="none"/>
                <w14:textFill>
                  <w14:solidFill>
                    <w14:schemeClr w14:val="tx1"/>
                  </w14:solidFill>
                </w14:textFill>
              </w:rPr>
              <w:t>周恩来革命活动旧址、陆丰苏维埃政权成立大会会址、红二师碣石作战指挥部旧址、张威纪念亭、陆丰县总农会成立旧址等红色革命旧址的修缮保护</w:t>
            </w:r>
            <w:r>
              <w:rPr>
                <w:rFonts w:hint="eastAsia" w:ascii="宋体" w:hAnsi="宋体" w:eastAsiaTheme="minorEastAsia" w:cstheme="minorBidi"/>
                <w:color w:val="000000" w:themeColor="text1"/>
                <w:sz w:val="28"/>
                <w:szCs w:val="28"/>
                <w:highlight w:val="none"/>
                <w:lang w:eastAsia="zh-CN"/>
                <w14:textFill>
                  <w14:solidFill>
                    <w14:schemeClr w14:val="tx1"/>
                  </w14:solidFill>
                </w14:textFill>
              </w:rPr>
              <w:t>，推进陆丰市107个红色革命遗址修缮修复项目</w:t>
            </w:r>
            <w:r>
              <w:rPr>
                <w:rFonts w:hint="eastAsia" w:ascii="宋体" w:hAnsi="宋体" w:eastAsiaTheme="minorEastAsia" w:cstheme="minorBidi"/>
                <w:color w:val="000000" w:themeColor="text1"/>
                <w:sz w:val="28"/>
                <w:szCs w:val="28"/>
                <w:highlight w:val="none"/>
                <w14:textFill>
                  <w14:solidFill>
                    <w14:schemeClr w14:val="tx1"/>
                  </w14:solidFill>
                </w14:textFill>
              </w:rPr>
              <w:t>。</w:t>
            </w:r>
          </w:p>
          <w:p>
            <w:pPr>
              <w:spacing w:line="400" w:lineRule="exact"/>
              <w:ind w:firstLine="562" w:firstLineChars="200"/>
              <w:rPr>
                <w:rFonts w:hint="eastAsia" w:ascii="宋体" w:hAnsi="宋体" w:eastAsiaTheme="minorEastAsia" w:cstheme="minorBidi"/>
                <w:color w:val="000000" w:themeColor="text1"/>
                <w:sz w:val="28"/>
                <w:szCs w:val="28"/>
                <w:highlight w:val="none"/>
                <w14:textFill>
                  <w14:solidFill>
                    <w14:schemeClr w14:val="tx1"/>
                  </w14:solidFill>
                </w14:textFill>
              </w:rPr>
            </w:pPr>
            <w:r>
              <w:rPr>
                <w:rFonts w:hint="eastAsia" w:ascii="宋体" w:hAnsi="宋体" w:eastAsiaTheme="minorEastAsia" w:cstheme="minorBidi"/>
                <w:b/>
                <w:bCs/>
                <w:color w:val="000000" w:themeColor="text1"/>
                <w:sz w:val="28"/>
                <w:szCs w:val="28"/>
                <w:highlight w:val="none"/>
                <w14:textFill>
                  <w14:solidFill>
                    <w14:schemeClr w14:val="tx1"/>
                  </w14:solidFill>
                </w14:textFill>
              </w:rPr>
              <w:t>2.红色文化旅游整合发展：</w:t>
            </w:r>
            <w:r>
              <w:rPr>
                <w:rFonts w:hint="eastAsia" w:ascii="宋体" w:hAnsi="宋体" w:eastAsiaTheme="minorEastAsia" w:cstheme="minorBidi"/>
                <w:color w:val="000000" w:themeColor="text1"/>
                <w:sz w:val="28"/>
                <w:szCs w:val="28"/>
                <w:highlight w:val="none"/>
                <w14:textFill>
                  <w14:solidFill>
                    <w14:schemeClr w14:val="tx1"/>
                  </w14:solidFill>
                </w14:textFill>
              </w:rPr>
              <w:t>完善和配套乡村休闲旅游配套设施，把红色村打造成为红色文化旅游景区。加大维护修缮力度，拓展古驿道文旅路线。</w:t>
            </w:r>
          </w:p>
          <w:p>
            <w:pPr>
              <w:spacing w:line="400" w:lineRule="exact"/>
              <w:ind w:firstLine="562" w:firstLineChars="200"/>
              <w:rPr>
                <w:rFonts w:hint="eastAsia" w:ascii="宋体" w:hAnsi="宋体" w:eastAsiaTheme="minorEastAsia" w:cstheme="minorBidi"/>
                <w:b/>
                <w:bCs/>
                <w:color w:val="000000" w:themeColor="text1"/>
                <w:sz w:val="28"/>
                <w:szCs w:val="28"/>
                <w:highlight w:val="none"/>
                <w:lang w:val="en-US" w:eastAsia="zh-CN"/>
                <w14:textFill>
                  <w14:solidFill>
                    <w14:schemeClr w14:val="tx1"/>
                  </w14:solidFill>
                </w14:textFill>
              </w:rPr>
            </w:pPr>
            <w:r>
              <w:rPr>
                <w:rFonts w:hint="eastAsia" w:ascii="宋体" w:hAnsi="宋体" w:eastAsiaTheme="minorEastAsia" w:cstheme="minorBidi"/>
                <w:b/>
                <w:bCs/>
                <w:color w:val="000000" w:themeColor="text1"/>
                <w:sz w:val="28"/>
                <w:szCs w:val="28"/>
                <w:highlight w:val="none"/>
                <w:lang w:val="en-US" w:eastAsia="zh-CN"/>
                <w14:textFill>
                  <w14:solidFill>
                    <w14:schemeClr w14:val="tx1"/>
                  </w14:solidFill>
                </w14:textFill>
              </w:rPr>
              <w:t>3.三条红色革命路线:</w:t>
            </w:r>
          </w:p>
          <w:p>
            <w:pPr>
              <w:spacing w:line="400" w:lineRule="exact"/>
              <w:ind w:firstLine="560" w:firstLineChars="200"/>
              <w:rPr>
                <w:rFonts w:hint="eastAsia" w:ascii="宋体" w:hAnsi="宋体" w:eastAsiaTheme="minorEastAsia" w:cstheme="minorBidi"/>
                <w:color w:val="000000" w:themeColor="text1"/>
                <w:sz w:val="28"/>
                <w:szCs w:val="28"/>
                <w:highlight w:val="none"/>
                <w:lang w:val="en-US" w:eastAsia="zh-CN"/>
                <w14:textFill>
                  <w14:solidFill>
                    <w14:schemeClr w14:val="tx1"/>
                  </w14:solidFill>
                </w14:textFill>
              </w:rPr>
            </w:pPr>
            <w:r>
              <w:rPr>
                <w:rFonts w:hint="eastAsia" w:ascii="宋体" w:hAnsi="宋体" w:eastAsiaTheme="minorEastAsia" w:cstheme="minorBidi"/>
                <w:color w:val="000000" w:themeColor="text1"/>
                <w:sz w:val="28"/>
                <w:szCs w:val="28"/>
                <w:highlight w:val="none"/>
                <w:lang w:val="en-US" w:eastAsia="zh-CN"/>
                <w14:textFill>
                  <w14:solidFill>
                    <w14:schemeClr w14:val="tx1"/>
                  </w14:solidFill>
                </w14:textFill>
              </w:rPr>
              <w:t>南昌起义部队路线（领导人转移史）：甲子一湖东一南塘（碣石）—金厢一桥冲。</w:t>
            </w:r>
          </w:p>
          <w:p>
            <w:pPr>
              <w:spacing w:line="400" w:lineRule="exact"/>
              <w:ind w:firstLine="560" w:firstLineChars="200"/>
              <w:rPr>
                <w:rFonts w:hint="eastAsia" w:ascii="宋体" w:hAnsi="宋体" w:eastAsiaTheme="minorEastAsia" w:cstheme="minorBidi"/>
                <w:color w:val="000000" w:themeColor="text1"/>
                <w:sz w:val="28"/>
                <w:szCs w:val="28"/>
                <w:highlight w:val="none"/>
                <w:lang w:val="en-US" w:eastAsia="zh-CN"/>
                <w14:textFill>
                  <w14:solidFill>
                    <w14:schemeClr w14:val="tx1"/>
                  </w14:solidFill>
                </w14:textFill>
              </w:rPr>
            </w:pPr>
            <w:r>
              <w:rPr>
                <w:rFonts w:hint="eastAsia" w:ascii="宋体" w:hAnsi="宋体" w:eastAsiaTheme="minorEastAsia" w:cstheme="minorBidi"/>
                <w:color w:val="000000" w:themeColor="text1"/>
                <w:sz w:val="28"/>
                <w:szCs w:val="28"/>
                <w:highlight w:val="none"/>
                <w:lang w:val="en-US" w:eastAsia="zh-CN"/>
                <w14:textFill>
                  <w14:solidFill>
                    <w14:schemeClr w14:val="tx1"/>
                  </w14:solidFill>
                </w14:textFill>
              </w:rPr>
              <w:t>农会斗争史路线（陆丰党组织和农会组织）：东海一潭西一上英一河西一城东。</w:t>
            </w:r>
          </w:p>
          <w:p>
            <w:pPr>
              <w:spacing w:line="400" w:lineRule="exact"/>
              <w:ind w:firstLine="560" w:firstLineChars="200"/>
              <w:rPr>
                <w:color w:val="000000" w:themeColor="text1"/>
                <w:highlight w:val="none"/>
                <w14:textFill>
                  <w14:solidFill>
                    <w14:schemeClr w14:val="tx1"/>
                  </w14:solidFill>
                </w14:textFill>
              </w:rPr>
            </w:pPr>
            <w:r>
              <w:rPr>
                <w:rFonts w:hint="eastAsia" w:ascii="宋体" w:hAnsi="宋体" w:eastAsiaTheme="minorEastAsia" w:cstheme="minorBidi"/>
                <w:color w:val="000000" w:themeColor="text1"/>
                <w:sz w:val="28"/>
                <w:szCs w:val="28"/>
                <w:highlight w:val="none"/>
                <w:lang w:val="en-US" w:eastAsia="zh-CN"/>
                <w14:textFill>
                  <w14:solidFill>
                    <w14:schemeClr w14:val="tx1"/>
                  </w14:solidFill>
                </w14:textFill>
              </w:rPr>
              <w:t>南昌起义军部队转移路线：陂洋一内湖一南塘一河东一大安。</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90" w:name="_Toc18602"/>
      <w:r>
        <w:rPr>
          <w:rFonts w:hint="eastAsia" w:ascii="黑体" w:hAnsi="黑体" w:eastAsia="黑体" w:cs="仿宋"/>
          <w:color w:val="000000" w:themeColor="text1"/>
          <w:sz w:val="32"/>
          <w:szCs w:val="32"/>
          <w:highlight w:val="none"/>
          <w14:textFill>
            <w14:solidFill>
              <w14:schemeClr w14:val="tx1"/>
            </w14:solidFill>
          </w14:textFill>
        </w:rPr>
        <w:t>第四节 传承优秀传统文化</w:t>
      </w:r>
      <w:bookmarkEnd w:id="190"/>
    </w:p>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14:textFill>
            <w14:solidFill>
              <w14:schemeClr w14:val="tx1"/>
            </w14:solidFill>
          </w14:textFill>
        </w:rPr>
        <w:t>——进一步挖掘和传承陆丰作为</w:t>
      </w: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岭南</w:t>
      </w:r>
      <w:r>
        <w:rPr>
          <w:rFonts w:hint="eastAsia" w:ascii="仿宋_GB2312" w:hAnsi="Calibri" w:eastAsia="仿宋_GB2312"/>
          <w:b/>
          <w:bCs/>
          <w:i w:val="0"/>
          <w:caps w:val="0"/>
          <w:color w:val="000000" w:themeColor="text1"/>
          <w:spacing w:val="0"/>
          <w:w w:val="100"/>
          <w:sz w:val="32"/>
          <w:szCs w:val="32"/>
          <w:highlight w:val="none"/>
          <w:u w:val="none" w:color="auto"/>
          <w14:textFill>
            <w14:solidFill>
              <w14:schemeClr w14:val="tx1"/>
            </w14:solidFill>
          </w14:textFill>
        </w:rPr>
        <w:t>文化</w:t>
      </w: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、客家</w:t>
      </w:r>
      <w:r>
        <w:rPr>
          <w:rFonts w:hint="eastAsia" w:ascii="仿宋_GB2312" w:hAnsi="Calibri" w:eastAsia="仿宋_GB2312"/>
          <w:b/>
          <w:bCs/>
          <w:i w:val="0"/>
          <w:caps w:val="0"/>
          <w:color w:val="000000" w:themeColor="text1"/>
          <w:spacing w:val="0"/>
          <w:w w:val="100"/>
          <w:sz w:val="32"/>
          <w:szCs w:val="32"/>
          <w:highlight w:val="none"/>
          <w:u w:val="none" w:color="auto"/>
          <w14:textFill>
            <w14:solidFill>
              <w14:schemeClr w14:val="tx1"/>
            </w14:solidFill>
          </w14:textFill>
        </w:rPr>
        <w:t>文化</w:t>
      </w: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、潮汕文化</w:t>
      </w:r>
      <w:r>
        <w:rPr>
          <w:rFonts w:hint="eastAsia" w:ascii="仿宋_GB2312" w:hAnsi="Calibri" w:eastAsia="仿宋_GB2312"/>
          <w:b/>
          <w:bCs/>
          <w:i w:val="0"/>
          <w:caps w:val="0"/>
          <w:color w:val="000000" w:themeColor="text1"/>
          <w:spacing w:val="0"/>
          <w:w w:val="100"/>
          <w:sz w:val="32"/>
          <w:szCs w:val="32"/>
          <w:highlight w:val="none"/>
          <w:u w:val="none" w:color="auto"/>
          <w14:textFill>
            <w14:solidFill>
              <w14:schemeClr w14:val="tx1"/>
            </w14:solidFill>
          </w14:textFill>
        </w:rPr>
        <w:t>等多元文化交融的优势，强化传统文化对社会稳定经济发展的支撑作用。</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进一步发扬陆丰的传统</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建筑风格</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和</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语言，</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强化海内外陆丰文化的认同。加强</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正字戏、皮影戏、英歌舞等非遗特产</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的</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传承与弘扬，加入新时代的核心价值观，融入陆丰的特色。</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进一步推动对传统文化的</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移风易俗，</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落实</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殡葬</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改革工</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作</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推动</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红白喜事简约化</w:t>
      </w:r>
      <w:r>
        <w:rPr>
          <w:rFonts w:hint="eastAsia" w:ascii="仿宋_GB2312" w:hAnsi="Calibri" w:eastAsia="仿宋_GB2312"/>
          <w:b w:val="0"/>
          <w:i w:val="0"/>
          <w:caps w:val="0"/>
          <w:color w:val="000000" w:themeColor="text1"/>
          <w:spacing w:val="0"/>
          <w:w w:val="100"/>
          <w:sz w:val="32"/>
          <w:szCs w:val="32"/>
          <w:highlight w:val="none"/>
          <w:u w:val="none" w:color="auto"/>
          <w14:textFill>
            <w14:solidFill>
              <w14:schemeClr w14:val="tx1"/>
            </w14:solidFill>
          </w14:textFill>
        </w:rPr>
        <w:t>办理。</w:t>
      </w:r>
    </w:p>
    <w:p>
      <w:pPr>
        <w:snapToGrid/>
        <w:spacing w:before="0" w:beforeAutospacing="0" w:after="0" w:afterAutospacing="0" w:line="600" w:lineRule="exact"/>
        <w:ind w:firstLine="643" w:firstLineChars="200"/>
        <w:jc w:val="both"/>
        <w:textAlignment w:val="baseline"/>
        <w:rPr>
          <w:rFonts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Calibri" w:eastAsia="仿宋_GB2312"/>
          <w:b/>
          <w:bCs/>
          <w:i w:val="0"/>
          <w:caps w:val="0"/>
          <w:color w:val="000000" w:themeColor="text1"/>
          <w:spacing w:val="0"/>
          <w:w w:val="100"/>
          <w:sz w:val="32"/>
          <w:szCs w:val="32"/>
          <w:highlight w:val="none"/>
          <w:u w:val="none" w:color="auto"/>
          <w14:textFill>
            <w14:solidFill>
              <w14:schemeClr w14:val="tx1"/>
            </w14:solidFill>
          </w14:textFill>
        </w:rPr>
        <w:t>——促进</w:t>
      </w: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乡村振兴与文旅结合，</w:t>
      </w:r>
      <w:r>
        <w:rPr>
          <w:rFonts w:hint="eastAsia" w:ascii="仿宋_GB2312" w:hAnsi="Calibri" w:eastAsia="仿宋_GB2312"/>
          <w:b/>
          <w:bCs/>
          <w:i w:val="0"/>
          <w:caps w:val="0"/>
          <w:color w:val="000000" w:themeColor="text1"/>
          <w:spacing w:val="0"/>
          <w:w w:val="100"/>
          <w:sz w:val="32"/>
          <w:szCs w:val="32"/>
          <w:highlight w:val="none"/>
          <w:u w:val="none" w:color="auto"/>
          <w14:textFill>
            <w14:solidFill>
              <w14:schemeClr w14:val="tx1"/>
            </w14:solidFill>
          </w14:textFill>
        </w:rPr>
        <w:t>打造富有陆丰文化特色的</w:t>
      </w:r>
      <w:r>
        <w:rPr>
          <w:rFonts w:hint="eastAsia" w:ascii="仿宋_GB2312" w:hAnsi="Calibri" w:eastAsia="仿宋_GB2312"/>
          <w:b/>
          <w:bCs/>
          <w:i w:val="0"/>
          <w:caps w:val="0"/>
          <w:color w:val="000000" w:themeColor="text1"/>
          <w:spacing w:val="0"/>
          <w:w w:val="100"/>
          <w:sz w:val="32"/>
          <w:szCs w:val="32"/>
          <w:highlight w:val="none"/>
          <w:u w:val="none" w:color="auto"/>
          <w:lang w:val="zh-CN"/>
          <w14:textFill>
            <w14:solidFill>
              <w14:schemeClr w14:val="tx1"/>
            </w14:solidFill>
          </w14:textFill>
        </w:rPr>
        <w:t>圣诞礼品、贝雕等文旅产品。</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依托陆丰丰富的非物质文化遗产资源与传统文化特征，大力发展文旅产业，推</w:t>
      </w:r>
      <w:r>
        <w:rPr>
          <w:rFonts w:hint="eastAsia" w:ascii="仿宋_GB2312" w:hAnsi="Calibri"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动</w:t>
      </w:r>
      <w:r>
        <w:rPr>
          <w:rFonts w:hint="eastAsia" w:ascii="仿宋_GB2312" w:hAnsi="Calibri" w:eastAsia="仿宋_GB2312"/>
          <w:b w:val="0"/>
          <w:i w:val="0"/>
          <w:caps w:val="0"/>
          <w:color w:val="000000" w:themeColor="text1"/>
          <w:spacing w:val="0"/>
          <w:w w:val="100"/>
          <w:sz w:val="32"/>
          <w:szCs w:val="32"/>
          <w:highlight w:val="none"/>
          <w:u w:val="none" w:color="auto"/>
          <w:lang w:val="zh-CN"/>
          <w14:textFill>
            <w14:solidFill>
              <w14:schemeClr w14:val="tx1"/>
            </w14:solidFill>
          </w14:textFill>
        </w:rPr>
        <w:t>大安滚地金龙、甲子英歌舞、碣石五色狮、南塘吹打乐、博美飘色等传统民间艺术，建设陆丰渔民文化、福佬文化、客家文化等多元文化展示与体验基地，推进恢复重建碣石观海、甲子吞潮、乌坎归帆等“陆丰八景”，打造陆丰特色文旅IP，培育旅游发展新业态。</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91" w:name="_Toc6864"/>
      <w:r>
        <w:rPr>
          <w:rFonts w:hint="eastAsia" w:ascii="黑体" w:hAnsi="黑体" w:eastAsia="黑体" w:cs="仿宋"/>
          <w:color w:val="000000" w:themeColor="text1"/>
          <w:sz w:val="32"/>
          <w:szCs w:val="32"/>
          <w:highlight w:val="none"/>
          <w14:textFill>
            <w14:solidFill>
              <w14:schemeClr w14:val="tx1"/>
            </w14:solidFill>
          </w14:textFill>
        </w:rPr>
        <w:t>第五节 提升公共文化服务水平</w:t>
      </w:r>
      <w:bookmarkEnd w:id="191"/>
    </w:p>
    <w:p>
      <w:pPr>
        <w:snapToGrid/>
        <w:spacing w:before="0" w:beforeAutospacing="0" w:after="0" w:afterAutospacing="0" w:line="600" w:lineRule="exact"/>
        <w:ind w:firstLine="643" w:firstLineChars="200"/>
        <w:jc w:val="both"/>
        <w:textAlignment w:val="baseline"/>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——深入实施文化体育惠民工程。</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推进文化馆、图书馆、美术馆和体育馆、游泳池等文化旅游及体育设施建设，争取实现陆丰市所有镇（区）文化馆图书馆分馆全覆盖。加快县级图书馆文化馆总分馆制建设和理事会制度建设，全面完善县、乡镇、村（社区）三级公共文化服务体系建设。推动公共文化服务进景区，构建主客共享的文化和旅游新空间。</w:t>
      </w:r>
    </w:p>
    <w:p>
      <w:pPr>
        <w:pStyle w:val="6"/>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——推动全市公共服务体系建设。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加强“三馆”公共文化服务体系建设，促进图书馆、文化馆数字化发展；推进基层文化站、综合性文化中心改造升级，争取全市乡镇文化站全部达到省二级站标准；依托皮影动漫文化产业基地创新推广正字戏、皮影戏、滚地金龙和甲子英歌等国家级非物质文化遗产。完善全民健身公共服务体系，新建文化体育活动中心，加大市体育馆、游泳池的配套设施投入，推进市人民体育场升级改造工程建设，推进健身路径在乡村的全面普及，进一步推动全民健身基本国策，促进儿童、青少年等重点人群体育发展。加强体育交流协作共建，积极与</w:t>
      </w:r>
      <w:r>
        <w:rPr>
          <w:rFonts w:hint="eastAsia" w:ascii="仿宋_GB2312" w:eastAsia="仿宋_GB2312"/>
          <w:b w:val="0"/>
          <w:i w:val="0"/>
          <w:caps w:val="0"/>
          <w:color w:val="000000" w:themeColor="text1"/>
          <w:spacing w:val="0"/>
          <w:w w:val="100"/>
          <w:sz w:val="32"/>
          <w:szCs w:val="32"/>
          <w:highlight w:val="none"/>
          <w:u w:val="none" w:color="auto"/>
          <w:lang w:val="zh-CN"/>
          <w14:textFill>
            <w14:solidFill>
              <w14:schemeClr w14:val="tx1"/>
            </w14:solidFill>
          </w14:textFill>
        </w:rPr>
        <w:t>“双区”</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城市进行赛事交流和体育联合办学，谋划发展民营体校，通过体教融合充分挖掘体校功能，普及体育运动，补齐体育健康事业发展短板。着力促进陆丰足球与手球项目做大做强，推动产业化发展，打造陆丰足球与陆丰手球特色新名片。</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——打造</w:t>
      </w:r>
      <w:r>
        <w:rPr>
          <w:rFonts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阵地服务、流动服务和数字服务有机结合的新型服务模式</w:t>
      </w:r>
      <w:r>
        <w:rPr>
          <w:rFonts w:hint="eastAsia" w:ascii="仿宋_GB2312" w:eastAsia="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广泛采用现代信息技术提升文体服务能力，通过“互联网</w:t>
      </w:r>
      <w:r>
        <w:rPr>
          <w:rFonts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+”与“文化+”的互动共进</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加快推出全市公共图书馆、博物馆、文化馆系列的视频类资源，推动智慧场馆（站）建设，建立文体场馆向社会开放和全民健身活动信息发布与管理平台。强化文化队伍建设，广泛开展各种文体活动。加强红色文化、非遗保护传承利用，擦亮陆丰“中国民间文化艺术之乡”品牌。提升</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鼓励现实题材文艺作品创作，抓好融媒体建设，做好地方志</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档案</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老年教育等方面工作。</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6"/>
              <w:snapToGrid/>
              <w:spacing w:before="0" w:beforeAutospacing="0" w:after="0" w:afterAutospacing="0" w:line="400" w:lineRule="exact"/>
              <w:ind w:firstLine="0"/>
              <w:jc w:val="center"/>
              <w:textAlignment w:val="baseline"/>
              <w:rPr>
                <w:rFonts w:cs="仿宋_GB2312"/>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w:t>
            </w:r>
            <w:r>
              <w:rPr>
                <w:rFonts w:hint="default"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10-2</w:t>
            </w: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：文旅体设施建设重点工程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1.文化公共设施建设：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建设市数字文化馆、数字图书馆，利用数字化技术手段接入“文化在线”广东公共数字文化联盟平台，实现与大湾区各市文化馆、图书馆资源共享。</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2.旅游信息化建设：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加快构建集数字景区、电子商务、数字化营销等在内的数字旅游系统，提升旅游信息服务水平，推进交通、公安、商务、旅游等涉旅信息共享，推进无线WiFi</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全</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覆盖，建设全市旅游数据中心，提升旅游公共服务、市场营销、行业管理智能化水平。</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3.文旅大数据智慧化平台建设：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为公众提供全市旅游信息查询和指引，为全市文旅企业开展门票在线预订、电子讲解、智能导游、承载量监测等智能化运用。</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4.体育场馆建设：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建设一个文化体育活动中心（包含体育馆、足球场、田径场、篮球场、乒乓球场、文化广场、展览馆等）</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争取</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全市四个中心镇至少有一</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个</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11人制的足球场，各镇、场区至少有一</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个</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7（8）人制的足球场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及相应</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配套设施，满足人民群众强身健体的需求。加</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快</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市体育馆、游泳池的配套设施投入、市人民体育场升级改造工程建设；引进职业体育俱乐部举行高端赛事，谋划市青少年业余体育学校选址建设。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5.陆丰手球项目</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谋划于金厢镇建设汕尾市手球训练及比赛场馆，力争全省的沙滩手球赛落户我市举办。</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6.陆丰足球项目</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借助</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“省足球试点县区”称号及全省青少年足球锦标赛或省长杯等赛事在我市睿荣足球训练基地举办的影响力。设立市长杯足球赛、陆丰市足球联赛等官方赛事。</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92" w:name="_Toc14863"/>
      <w:r>
        <w:rPr>
          <w:rFonts w:hint="eastAsia" w:ascii="黑体" w:hAnsi="黑体" w:eastAsia="黑体" w:cs="仿宋"/>
          <w:color w:val="000000" w:themeColor="text1"/>
          <w:sz w:val="32"/>
          <w:szCs w:val="32"/>
          <w:highlight w:val="none"/>
          <w14:textFill>
            <w14:solidFill>
              <w14:schemeClr w14:val="tx1"/>
            </w14:solidFill>
          </w14:textFill>
        </w:rPr>
        <w:t>第六节 发展特色文化产业</w:t>
      </w:r>
      <w:bookmarkEnd w:id="192"/>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坚持“以文兴业”，把社会效益放在首位、社会效益和经济效益相统一，完善文化产业规划，加强文化市场体系建设，扩大具有</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传统文化元素的文化产品供给。深化文化体制改革，推进正字戏剧团、白字戏剧团加快改革，激发剧团内部活力。实施文化产业数字化战略，推动陆丰碣石麦秆画、碣石木雕、甲子贝雕、捷胜泥塑等传统特色文化产业转型升级。规划建设文化产业园区，推动文化和旅游融合发展，发展酒店、民宿经济，创建一批国家级、省级旅游度假区，将陆丰打造成为中国滨海休闲旅游最佳目的地之一。</w:t>
      </w: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bookmarkStart w:id="193" w:name="_Toc24047"/>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第十一章 </w:t>
      </w:r>
      <w:bookmarkEnd w:id="183"/>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扎实推进生态文明建设，走好绿色发展之路</w:t>
      </w:r>
      <w:bookmarkEnd w:id="184"/>
      <w:bookmarkEnd w:id="185"/>
      <w:bookmarkEnd w:id="193"/>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深入</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贯彻习近平生态文明思想，坚持绿水青山就是金山银山理念，深入实施可持续发展战略，</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打造“一带两屏三廊多点”的全域生态大格局，</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力争到2025年，全市大气和水生态环境质量持续改善，土壤污染等环境风险得到有效管控，主要污染物排放总量持续下降，生态系统安全稳步提高，绿色生产和绿色生活水平明显提升，生态环境治理体系和治理能力现代化水平明显增强，切实扛起把汕尾建设为沿海经济带靓丽明珠的陆丰担当。</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94" w:name="_Toc13466"/>
      <w:bookmarkStart w:id="195" w:name="_Toc23495"/>
      <w:bookmarkStart w:id="196" w:name="_Toc25958"/>
      <w:bookmarkStart w:id="197" w:name="_Toc9163"/>
      <w:r>
        <w:rPr>
          <w:rFonts w:hint="eastAsia" w:ascii="黑体" w:hAnsi="黑体" w:eastAsia="黑体" w:cs="仿宋"/>
          <w:color w:val="000000" w:themeColor="text1"/>
          <w:sz w:val="32"/>
          <w:szCs w:val="32"/>
          <w:highlight w:val="none"/>
          <w14:textFill>
            <w14:solidFill>
              <w14:schemeClr w14:val="tx1"/>
            </w14:solidFill>
          </w14:textFill>
        </w:rPr>
        <w:t xml:space="preserve">第一节 </w:t>
      </w:r>
      <w:bookmarkEnd w:id="194"/>
      <w:r>
        <w:rPr>
          <w:rFonts w:hint="eastAsia" w:ascii="黑体" w:hAnsi="黑体" w:eastAsia="黑体" w:cs="仿宋"/>
          <w:color w:val="000000" w:themeColor="text1"/>
          <w:sz w:val="32"/>
          <w:szCs w:val="32"/>
          <w:highlight w:val="none"/>
          <w14:textFill>
            <w14:solidFill>
              <w14:schemeClr w14:val="tx1"/>
            </w14:solidFill>
          </w14:textFill>
        </w:rPr>
        <w:t>加快推动绿色低碳循环发展</w:t>
      </w:r>
      <w:bookmarkEnd w:id="195"/>
      <w:bookmarkEnd w:id="196"/>
      <w:bookmarkEnd w:id="197"/>
    </w:p>
    <w:p>
      <w:pPr>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通过推动绿色低碳循环发展，完成</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二氧化碳排放力争于2030年前达到峰值，力争</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落实国家省市的</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碳中和</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目标</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——积极践行“两山”理论，</w:t>
      </w: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推动</w:t>
      </w: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产业</w:t>
      </w: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绿色化发展</w:t>
      </w: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积极引导低投入、低消耗、低排放和高效率的现代产业发展，引导新型产业链战略性布局。持续淘汰落后产能，加快工业园区生态化改造，</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推进园区工业用地“标准地”建设，推动资源向优势企业、优势区域集聚</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。建立健全绿色低碳循环发展的经济体系，推进能源生产和消费革命，构建清洁低碳、安全高效的能源体系。推进资源全面节约和循环利用，继续降低重点行业和企业能耗、物耗。</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——推进经济高质量发展和生态环境高水平保护。</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推进生态环境治理与生态旅游、休闲康养等产业融合发展，形成节约资源和保护环境的空间布局、产业结构和生产生活方式。发展绿色建筑，推动能源清洁低碳安全高效利用。</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严格生态环境准入，以环评审批的正面清单引导项目布局和落地。结合广东沿海经济带战略规划，构建以排污许可证制度为核心的固定源环境管理制度。进一步推进和完善市场化环境管理手段，充分发挥市场手段在环境保护工作中的作用。</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00" w:lineRule="exact"/>
              <w:ind w:left="0" w:leftChars="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专栏11-1 打造“一带两屏三廊多点”全域生态格局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zh-CN"/>
                <w14:textFill>
                  <w14:solidFill>
                    <w14:schemeClr w14:val="tx1"/>
                  </w14:solidFill>
                </w14:textFill>
              </w:rPr>
              <w:t>一带：</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沿海蓝色生态保护带。</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主要为陆丰岸线及沿海城镇构成。</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zh-CN"/>
                <w14:textFill>
                  <w14:solidFill>
                    <w14:schemeClr w14:val="tx1"/>
                  </w14:solidFill>
                </w14:textFill>
              </w:rPr>
              <w:t>两屏：</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分别为“</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西部山林生态安全屏障”</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北部山林生态安全屏障”。</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西部山林生态安全屏障”</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主要为河西镇、西南镇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zh-CN"/>
                <w14:textFill>
                  <w14:solidFill>
                    <w14:schemeClr w14:val="tx1"/>
                  </w14:solidFill>
                </w14:textFill>
              </w:rPr>
              <w:t>三廊：</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分别为沿着</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螺河、乌坎河</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瀛江-鳌江</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构成的生态廊道，即</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螺河生态廊道、乌坎河生态廊道、瀛江-鳌江生态廊道”。</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lang w:val="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zh-CN"/>
                <w14:textFill>
                  <w14:solidFill>
                    <w14:schemeClr w14:val="tx1"/>
                  </w14:solidFill>
                </w14:textFill>
              </w:rPr>
              <w:t>多节点：</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加强对</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重要河湖水库、入海口</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zh-CN"/>
                <w14:textFill>
                  <w14:solidFill>
                    <w14:schemeClr w14:val="tx1"/>
                  </w14:solidFill>
                </w14:textFill>
              </w:rPr>
              <w:t>自然保护地等节点</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的生态保护，重点加强螺河入海口、乌坎河入海口、瀛河入海口及金厢自然保护地等节点的保护。</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198" w:name="_Toc14809"/>
      <w:bookmarkStart w:id="199" w:name="_Toc19944"/>
      <w:bookmarkStart w:id="200" w:name="_Toc3651"/>
      <w:bookmarkStart w:id="201" w:name="_Toc29101"/>
      <w:r>
        <w:rPr>
          <w:rFonts w:hint="eastAsia" w:ascii="黑体" w:hAnsi="黑体" w:eastAsia="黑体" w:cs="仿宋"/>
          <w:color w:val="000000" w:themeColor="text1"/>
          <w:sz w:val="32"/>
          <w:szCs w:val="32"/>
          <w:highlight w:val="none"/>
          <w14:textFill>
            <w14:solidFill>
              <w14:schemeClr w14:val="tx1"/>
            </w14:solidFill>
          </w14:textFill>
        </w:rPr>
        <w:t xml:space="preserve">第二节 </w:t>
      </w:r>
      <w:bookmarkEnd w:id="198"/>
      <w:r>
        <w:rPr>
          <w:rFonts w:hint="eastAsia" w:ascii="黑体" w:hAnsi="黑体" w:eastAsia="黑体" w:cs="仿宋"/>
          <w:color w:val="000000" w:themeColor="text1"/>
          <w:sz w:val="32"/>
          <w:szCs w:val="32"/>
          <w:highlight w:val="none"/>
          <w14:textFill>
            <w14:solidFill>
              <w14:schemeClr w14:val="tx1"/>
            </w14:solidFill>
          </w14:textFill>
        </w:rPr>
        <w:t>全面强化生态环境治理</w:t>
      </w:r>
      <w:bookmarkEnd w:id="199"/>
      <w:bookmarkEnd w:id="200"/>
      <w:bookmarkEnd w:id="201"/>
    </w:p>
    <w:p>
      <w:pPr>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——“三水统筹”提升水生态环境质量。</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以饮用水水源安全为重点，持续强化水源地保护；以国考断面水质达标为重点，强化乌坎河和东溪河流域污染攻坚治理；以企业和工业集聚区为重点，实施工业污染源全面达标排放计划；以补足城镇污水收集和处理设施短板为重点，持续推进生活源污染治理；以降低氮磷负荷为重点，持续推进农业源污染治理。加强水资源保障，开展水生态保护修复，加强水环境风险防控，持续推进黑臭水体治理和地下水污染防治。</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——精准施策改善大气环境质量。</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聚焦PM2.5和臭氧的协同控制、NOx和VOCs的协同减排，推进产业结构、能源结构、运输结构、用地结构的持续优化；持续推进重点行业清洁生产水平提升，严格控制机动车排气污染，持续整治“散乱污”企业，禁止露天焚烧秸秆等烟尘污染，强化扬尘治理，强制项目建设工地设置出场降尘设施，切实降低大气污染，提高空气质量。</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——切实保障土壤环境质量安全。</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精准开展农用地土壤污染源头管控和安全利用；以建设用地土壤污染风险管控和修复名录为核心，防控重点区域、重点行业、典型地块污染风险。建立高风险地块清单，实施污染地块风险管控和修复。以土壤污染问题突出区为重点，实施重点行业污染源治理。</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——持续推进农业农村污染防治。</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科学控制畜牧、水产养殖污染，从源头上合理规范畜禽养殖布局和规模，推进秸秆等农业废弃物综合利用，促进农药化肥减量增效，源头减少氮磷排放。统筹推进农村饮用水水源地规范化建设、农村生活污水治理和农村黑臭水体排查示范整治，加快推进“厕所革命”、垃圾分类等工作，压实农村生态环境监管责任，从制度层面提升村民参与环境整治的内生动力。</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02" w:name="_Toc8349"/>
      <w:bookmarkStart w:id="203" w:name="_Toc13971"/>
      <w:bookmarkStart w:id="204" w:name="_Toc1174"/>
      <w:bookmarkStart w:id="205" w:name="_Toc20252"/>
      <w:r>
        <w:rPr>
          <w:rFonts w:hint="eastAsia" w:ascii="黑体" w:hAnsi="黑体" w:eastAsia="黑体" w:cs="仿宋"/>
          <w:color w:val="000000" w:themeColor="text1"/>
          <w:sz w:val="32"/>
          <w:szCs w:val="32"/>
          <w:highlight w:val="none"/>
          <w14:textFill>
            <w14:solidFill>
              <w14:schemeClr w14:val="tx1"/>
            </w14:solidFill>
          </w14:textFill>
        </w:rPr>
        <w:t>第三节 构建生态环境保护体系，</w:t>
      </w:r>
      <w:r>
        <w:rPr>
          <w:rFonts w:hint="eastAsia" w:ascii="黑体" w:hAnsi="黑体" w:eastAsia="黑体" w:cs="仿宋"/>
          <w:color w:val="000000" w:themeColor="text1"/>
          <w:sz w:val="32"/>
          <w:szCs w:val="32"/>
          <w:highlight w:val="none"/>
          <w:lang w:val="zh-CN"/>
          <w14:textFill>
            <w14:solidFill>
              <w14:schemeClr w14:val="tx1"/>
            </w14:solidFill>
          </w14:textFill>
        </w:rPr>
        <w:t>防范重大生态环境风险</w:t>
      </w:r>
      <w:bookmarkEnd w:id="202"/>
      <w:bookmarkEnd w:id="203"/>
      <w:bookmarkEnd w:id="204"/>
      <w:bookmarkEnd w:id="205"/>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——强化</w:t>
      </w: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生态</w:t>
      </w: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空间用途管控，优化生态安全格局。</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统筹布局和整治生产、生活生态空间，建立和完善生态保护红线、环境质量底线、资源利用上线和生态环境准入清单“三线一单”生态环境空间分区管控体系。</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坚持山水林田湖草系统治理，加强城市绿地、河湖水系等自然生态要素的衔接连通，加快打造“山环水润”生态格局。</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持续推进</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森林城市、园林城市建设，推广立体绿化，提高城市绿量，发挥森林、河湖生态系统的气候调节功能。统筹山水林田湖草系统治理，加快建立完善自然生态保护监管制度，加强生态空间和生态保护红线管控，深化自然保护地强化监督，不断强化生物多样性保护工作，加大生态保护与修复力度，推进生态文明创建示范。</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——树牢底线思维，</w:t>
      </w: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防范重大生态风险</w:t>
      </w: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把生态环境风险纳入常态化管理，构建全过程、多层级生态环境风险防范体系。紧盯“一废一库一品”（危险废物、尾矿库、危险化学品）等高风险领域，加大隐患排查，加强涉重金属行业污染管控和固体废物污染防治，抓好医疗废物废水管理。做好应急物资储备和应急队伍建设，妥善应对突发环境事件。</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06" w:name="_Toc5365"/>
      <w:bookmarkStart w:id="207" w:name="_Toc30107"/>
      <w:bookmarkStart w:id="208" w:name="_Toc13568"/>
      <w:bookmarkStart w:id="209" w:name="_Toc5528"/>
      <w:r>
        <w:rPr>
          <w:rFonts w:hint="eastAsia" w:ascii="黑体" w:hAnsi="黑体" w:eastAsia="黑体" w:cs="仿宋"/>
          <w:color w:val="000000" w:themeColor="text1"/>
          <w:sz w:val="32"/>
          <w:szCs w:val="32"/>
          <w:highlight w:val="none"/>
          <w14:textFill>
            <w14:solidFill>
              <w14:schemeClr w14:val="tx1"/>
            </w14:solidFill>
          </w14:textFill>
        </w:rPr>
        <w:t>第四节 推动形成区域协同共治机制</w:t>
      </w:r>
      <w:bookmarkEnd w:id="206"/>
      <w:bookmarkEnd w:id="207"/>
      <w:bookmarkEnd w:id="208"/>
      <w:bookmarkEnd w:id="209"/>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——区域协同保护推动重大战略实施。</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积极推动与大湾区城市群及深莞惠经济圈生态环保合作，强化多污染物协同控制和区域协同治理。加快构建多元参与环境治理模式，建立健全环境治理的领导责任体系、企业责任体系、全民行动体系、监管体系、市场体系、信用体系、法律法规政策体系、风险防控体系，更好运用法律、经济、行政、技术等手段，提升环境基础治理能力和科技信息支撑能力，不断提高环境治理效能。全面实行排污许可制，强化环境保护、节能减排降碳约束性指标管理。充分发挥河湖长制作用，推进林长制，全面加强生态环境监管能力和监测能力建设。坚持共抓大保护不搞大开发，全面提升沿海经济带协同保护水平。坚持先导与改善并重，修复与保护并重，崛起与治理并重，修复与建设并重，促进绿色开发。</w:t>
      </w:r>
    </w:p>
    <w:p>
      <w:pPr>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——大力推进环境治理体系和治理能力现代化。</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压实生态环境保护“党政同责、一岗双责”。打通政策链条，综合运用经济、法律以及必要的行政手段，健全约束和激励机制，推动企业履行生态环境治理主体责任。加强统一规范的生态环境综合执法体系建设，公开监督执法正面清单，扎实推进综合行政执法改革，强化行政执法与刑事司法衔接。</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8296" w:type="dxa"/>
          </w:tcPr>
          <w:p>
            <w:pPr>
              <w:snapToGrid/>
              <w:spacing w:before="0" w:beforeAutospacing="0" w:after="0" w:afterAutospacing="0" w:line="400" w:lineRule="exact"/>
              <w:ind w:firstLine="600" w:firstLineChars="20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专栏11-2 生态环境治理、保护与修复重大项目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trPr>
        <w:tc>
          <w:tcPr>
            <w:tcW w:w="8296"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1.生态环境治理</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陆丰市</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东溪河水环境控制与治理工程：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东溪河工业污染防治、城镇污水处理系统建设、农村污水系统建设、农业污染防治、湿地综合治理、重点河流综合治理、水质检查断面设置等。</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集中式饮用水水源地规范化建设项目：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饮用水水源地自动监测系统、饮用水水源保护区预警监控项目、饮用水水源保护区应急物资（装备）储备库、饮用水源保护区物理防护与界标项目、饮用水源保护区勘界立标项目，编制饮用水水源保护区应急预案，划定饮用水水源保护区。</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臭氧综合监测站与VOCs在线监测站建设项目：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在我市东部择址各建设一个VOCs在线监测站等，强化VOCs管控。</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2.美丽海湾建设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金厢港：</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排水工程、环境绿化装饰、航道建设、景观石平台建设、沙滩整治同防护构件等。</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3.智慧环境平台建设</w:t>
            </w:r>
          </w:p>
          <w:p>
            <w:pPr>
              <w:snapToGrid/>
              <w:spacing w:before="0" w:beforeAutospacing="0" w:after="0" w:afterAutospacing="0" w:line="400" w:lineRule="exact"/>
              <w:ind w:firstLine="560"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搭建“市、镇”两级架构的环保大数据综合监管平台，实现环境监管、环境预警和生态科学决策智慧化。建设“一中心、两支撑、四平台、N应用”。“一中心”为环保大数据资源中心；“两支撑”为物联网支撑和基础软硬件支撑；“四平台”为一站式综合办公平台、一体化综合展示平台、阳光政府公共服务平台、移动化综合监管平台；“N应用”包括大气环境综合管理应用、网格化综合管理应用、水环境综合管理应用、环境应急管理应用、环境法制管理应用、信访综合管理应用等场景化核心应用功能。</w:t>
            </w:r>
          </w:p>
        </w:tc>
      </w:tr>
    </w:tbl>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10" w:name="_Toc14789"/>
      <w:r>
        <w:rPr>
          <w:rFonts w:hint="eastAsia" w:ascii="黑体" w:hAnsi="黑体" w:eastAsia="黑体" w:cs="仿宋"/>
          <w:color w:val="000000" w:themeColor="text1"/>
          <w:sz w:val="32"/>
          <w:szCs w:val="32"/>
          <w:highlight w:val="none"/>
          <w14:textFill>
            <w14:solidFill>
              <w14:schemeClr w14:val="tx1"/>
            </w14:solidFill>
          </w14:textFill>
        </w:rPr>
        <w:t>第五节 全面提高资源利用效率</w:t>
      </w:r>
      <w:bookmarkEnd w:id="210"/>
    </w:p>
    <w:p>
      <w:pPr>
        <w:widowControl/>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健全自然资源资产产权制度和法律法规，建立生态产品价值实现机制，完善自然资源有偿使用制度和市场化、多样化的生态补偿。落实最严格水资源管理，优化水资源配置。推动土地资源合理配置和集约高效利用。实施能源消费总量和强度双控行动。推进自然资源要素市场化，完善资源要素价格形成机制，推动废旧物资循环利用，加快星都循环产业园建设步伐，按照静脉工业园标准，打造成循环经济示范基地。全面推进垃圾分类和减量化、资源化，建设“无废城市”。</w:t>
      </w:r>
    </w:p>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bookmarkStart w:id="211" w:name="_Toc20049"/>
      <w:bookmarkStart w:id="212" w:name="_Toc30259"/>
      <w:bookmarkStart w:id="213" w:name="_Toc1796"/>
      <w:bookmarkStart w:id="214" w:name="_Toc28503"/>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第十二章 </w:t>
      </w:r>
      <w:bookmarkEnd w:id="211"/>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扎实推进民生事业发展，提高社会建设水平</w:t>
      </w:r>
      <w:bookmarkEnd w:id="212"/>
      <w:bookmarkEnd w:id="213"/>
      <w:bookmarkEnd w:id="214"/>
    </w:p>
    <w:p>
      <w:pPr>
        <w:widowControl/>
        <w:snapToGrid/>
        <w:spacing w:before="0" w:beforeAutospacing="0" w:after="0" w:afterAutospacing="0" w:line="600" w:lineRule="exact"/>
        <w:ind w:firstLine="640"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坚持以人民为中心，牢固树立为人民服务的宗旨，在全民共享、全面共享、共建共享、渐进共享中，不断实现好、维护好、发展好最广大人民的根本利益。坚持在发展中补齐民生短板，让改革和发展的成果惠及陆丰全体人民，不断增强人民群众获得感、幸福感、安全感。</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15" w:name="_Toc28195"/>
      <w:bookmarkStart w:id="216" w:name="_Toc3440"/>
      <w:bookmarkStart w:id="217" w:name="_Toc1777"/>
      <w:bookmarkStart w:id="218" w:name="_Toc17425"/>
      <w:r>
        <w:rPr>
          <w:rFonts w:hint="eastAsia" w:ascii="黑体" w:hAnsi="黑体" w:eastAsia="黑体" w:cs="仿宋"/>
          <w:color w:val="000000" w:themeColor="text1"/>
          <w:sz w:val="32"/>
          <w:szCs w:val="32"/>
          <w:highlight w:val="none"/>
          <w14:textFill>
            <w14:solidFill>
              <w14:schemeClr w14:val="tx1"/>
            </w14:solidFill>
          </w14:textFill>
        </w:rPr>
        <w:t xml:space="preserve">第一节 </w:t>
      </w:r>
      <w:bookmarkEnd w:id="215"/>
      <w:r>
        <w:rPr>
          <w:rFonts w:hint="eastAsia" w:ascii="黑体" w:hAnsi="黑体" w:eastAsia="黑体" w:cs="仿宋"/>
          <w:color w:val="000000" w:themeColor="text1"/>
          <w:sz w:val="32"/>
          <w:szCs w:val="32"/>
          <w:highlight w:val="none"/>
          <w14:textFill>
            <w14:solidFill>
              <w14:schemeClr w14:val="tx1"/>
            </w14:solidFill>
          </w14:textFill>
        </w:rPr>
        <w:t>努力提高人民收入水平和充分保障居民就业</w:t>
      </w:r>
      <w:bookmarkEnd w:id="216"/>
    </w:p>
    <w:p>
      <w:pPr>
        <w:widowControl/>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——提高人民收入水平。</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坚持按劳分配为主体、多种分配方式并存，提高劳动报酬在初次分配中的比重，</w:t>
      </w:r>
      <w:r>
        <w:rPr>
          <w:rFonts w:hint="eastAsia" w:ascii="仿宋_GB2312" w:hAnsi="仿宋" w:eastAsia="仿宋_GB2312" w:cs="仿宋"/>
          <w:b w:val="0"/>
          <w:i w:val="0"/>
          <w:caps w:val="0"/>
          <w:color w:val="000000" w:themeColor="text1"/>
          <w:spacing w:val="0"/>
          <w:w w:val="100"/>
          <w:sz w:val="32"/>
          <w:szCs w:val="32"/>
          <w:highlight w:val="none"/>
          <w:u w:val="none" w:color="auto"/>
          <w14:textFill>
            <w14:solidFill>
              <w14:schemeClr w14:val="tx1"/>
            </w14:solidFill>
          </w14:textFill>
        </w:rPr>
        <w:t>完善工资制度，健全工资合理增长机制，建立健全科研、技术、管理等人才薪酬激励机制，健全最低工资标准调整、工资集体协商和企业薪酬调查制度，健全农民工工资支付机制。</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着力提高低收入群体收入，扩大中等收入群体。</w:t>
      </w:r>
      <w:r>
        <w:rPr>
          <w:rFonts w:hint="eastAsia" w:ascii="仿宋_GB2312" w:hAnsi="仿宋" w:eastAsia="仿宋_GB2312" w:cs="仿宋"/>
          <w:b w:val="0"/>
          <w:i w:val="0"/>
          <w:caps w:val="0"/>
          <w:color w:val="000000" w:themeColor="text1"/>
          <w:spacing w:val="0"/>
          <w:w w:val="100"/>
          <w:sz w:val="32"/>
          <w:szCs w:val="32"/>
          <w:highlight w:val="none"/>
          <w:u w:val="none" w:color="auto"/>
          <w14:textFill>
            <w14:solidFill>
              <w14:schemeClr w14:val="tx1"/>
            </w14:solidFill>
          </w14:textFill>
        </w:rPr>
        <w:t>多渠道增加居民工资性收入、经营性收入、财产性收入，提高城乡居民收入水平。</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完善再分配机制，加大税收、社保、转移支付等调节力度和精准性。</w:t>
      </w:r>
      <w:r>
        <w:rPr>
          <w:rFonts w:hint="eastAsia" w:ascii="仿宋_GB2312" w:hAnsi="仿宋" w:eastAsia="仿宋_GB2312" w:cs="仿宋"/>
          <w:b w:val="0"/>
          <w:i w:val="0"/>
          <w:caps w:val="0"/>
          <w:color w:val="000000" w:themeColor="text1"/>
          <w:spacing w:val="0"/>
          <w:w w:val="100"/>
          <w:sz w:val="32"/>
          <w:szCs w:val="32"/>
          <w:highlight w:val="none"/>
          <w:u w:val="none" w:color="auto"/>
          <w14:textFill>
            <w14:solidFill>
              <w14:schemeClr w14:val="tx1"/>
            </w14:solidFill>
          </w14:textFill>
        </w:rPr>
        <w:t>健全完善劳动、资本、土地、知识、管理、数据等生产要素按市场评价贡献、按贡献决定报酬的机制。</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发挥第三次分配作用，发展慈善事业等社会公益事业，规范收分配秩序，改善收入和财富分配格局。</w:t>
      </w:r>
    </w:p>
    <w:p>
      <w:pPr>
        <w:pStyle w:val="6"/>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——实现更充分更高质量就业。</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千方百计稳定和扩大就业，完善促进就业、企业用工保障、就业补贴清单等惠企暖企政策。</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多渠道健全就业促进机制，进一步提升就业质量</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和就业结构</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，全面建成全方位公共就业创业服务体系。</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保障劳动者待遇和权益，健全就业公共服务体系、劳动关系协调机制、终身职业技能培训制度，注重缓解结构性就业矛盾，加快提升劳动者技能素质。完善高校毕业生、退役军人、农民工和城镇困难人员等重点群体就业支持体系，统筹城乡就业政策体系。扩大公益性岗位安置，帮扶残疾人、零就业家庭成员就业，开发公益性岗位托底安置就业困难人员、贫困劳动力重点群体就业。深入实施“大众创业、万众创新”，完善促进创业带动就业、多渠道灵活就业的保障制度，支持和规范发展新就业形态，推动“粤菜师傅”“广东技工”“南粤家政”三项工程高质量发展，加快实施“农村电商”“乡村工匠”重点工程。健全就业需求调查和失业监测预警机制。</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“十四五”期间实现城镇新增就业8万人以上，城镇登记失业率、城镇调查失业率分别控制在3%和6%以内。</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19" w:name="_Toc5990"/>
      <w:r>
        <w:rPr>
          <w:rFonts w:hint="eastAsia" w:ascii="黑体" w:hAnsi="黑体" w:eastAsia="黑体" w:cs="仿宋"/>
          <w:color w:val="000000" w:themeColor="text1"/>
          <w:sz w:val="32"/>
          <w:szCs w:val="32"/>
          <w:highlight w:val="none"/>
          <w14:textFill>
            <w14:solidFill>
              <w14:schemeClr w14:val="tx1"/>
            </w14:solidFill>
          </w14:textFill>
        </w:rPr>
        <w:t>第二节 推动教育现代化发展</w:t>
      </w:r>
      <w:bookmarkEnd w:id="217"/>
      <w:bookmarkEnd w:id="218"/>
      <w:bookmarkEnd w:id="219"/>
    </w:p>
    <w:p>
      <w:pPr>
        <w:snapToGrid/>
        <w:spacing w:before="0" w:beforeAutospacing="0" w:after="0" w:afterAutospacing="0" w:line="600" w:lineRule="exact"/>
        <w:ind w:firstLine="641"/>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——提升基础教育办学水平。</w:t>
      </w:r>
      <w:r>
        <w:rPr>
          <w:rFonts w:hint="eastAsia" w:ascii="仿宋_GB2312" w:hAns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促进学前教育更加普惠化发展，实施学前教育“5</w:t>
      </w:r>
      <w:r>
        <w:rPr>
          <w:rFonts w:ascii="仿宋_GB2312" w:hAns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080</w:t>
      </w:r>
      <w:r>
        <w:rPr>
          <w:rFonts w:hint="eastAsia" w:ascii="仿宋_GB2312" w:hAns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攻坚工程，加大幼儿园建设资金投入，提高学前三年毛入园率、公办园及普惠性幼儿园在园幼儿占比。</w:t>
      </w:r>
      <w:r>
        <w:rPr>
          <w:rFonts w:hint="eastAsia" w:ascii="仿宋_GB2312" w:hAns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义务教育更加优质均衡，</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实施义务教育和高中教育教学质量提升工程，开展“决胜课堂”行动，提升教育教学质量，中心区要梯次迁移高中学校，增加学位供给，缓解学位紧张压力。城乡义务教育一体化发展水平明显提升，九年义务教育巩固率进一步提高。推动</w:t>
      </w:r>
      <w:r>
        <w:rPr>
          <w:rFonts w:hint="eastAsia" w:ascii="仿宋_GB2312" w:hAnsi="仿宋_GB2312" w:eastAsia="仿宋_GB2312" w:cs="仿宋_GB2312"/>
          <w:b w:val="0"/>
          <w:i w:val="0"/>
          <w:caps w:val="0"/>
          <w:color w:val="000000" w:themeColor="text1"/>
          <w:spacing w:val="0"/>
          <w:w w:val="100"/>
          <w:sz w:val="32"/>
          <w:szCs w:val="32"/>
          <w:highlight w:val="none"/>
          <w:u w:val="none" w:color="auto"/>
          <w:shd w:val="clear" w:color="auto" w:fill="FFFFFF"/>
          <w:lang w:bidi="ar"/>
          <w14:textFill>
            <w14:solidFill>
              <w14:schemeClr w14:val="tx1"/>
            </w14:solidFill>
          </w14:textFill>
        </w:rPr>
        <w:t>高中教育更加多样化、更具特色，职业教育产教融合、校企合作更加紧密，教育热点难点问题得到有效破解，教育资源配置更加科学合理，教育服务经济社会发展能力不断增强。借鉴汕尾市实验小学试点学校办学新模式，打造我市教育集团。</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推动陆丰市与深圳优质教育资源合作共享，建立深汕师资互动长效机制，开展与深圳市教师双向挂职交流，</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提高教育教学质量。推进特殊教育全面发展，建立认定评估制度，对特殊儿童入学及进一步的医疗和教育评估、教育、康复、卫生保健提出建议，制定个性化教育与康复计划；完善教师管理制度，为特殊教育学校、儿童福利机构附设特教班等</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eastAsia="zh-CN" w:bidi="ar"/>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配齐教职工，探索建立特殊教育教师分类评价标准；优化特殊教育功能布局，整合资源分类办学，做好精准扶持政策，完善布局合理、学段衔接、普职融通、医教结合的特殊教育体系。</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专栏12-1 教育设施建设重点工程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1.</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陆丰市龙山中学新校区（二期</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eastAsia="zh-CN"/>
                <w14:textFill>
                  <w14:solidFill>
                    <w14:schemeClr w14:val="tx1"/>
                  </w14:solidFill>
                </w14:textFill>
              </w:rPr>
              <w:t>二标</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推动校园硬件建设、配套设施。</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2.</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林启恩纪念中学现代化综合大楼及学校配套设施提质升级工程：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新建现代化综合大楼一幢，建设食堂及配套学生公寓一幢</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现代化电教设施等配套工程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等</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3.</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乡镇公立幼儿园补短板建设项目：</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14:textFill>
                  <w14:solidFill>
                    <w14:schemeClr w14:val="tx1"/>
                  </w14:solidFill>
                </w14:textFill>
              </w:rPr>
              <w:t>落实</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“5080”规划建设项目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新建及改扩建57所幼儿园教学楼及配套设施设备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4.</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陆丰市第二职业技术学校学生宿舍楼、实训大楼建设项目：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推动学生宿舍楼二栋，实训大楼一栋建设。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5.</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陆丰市2019-2020年农村义务教育薄弱环节改善与能力提升项目：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推动建设27座教学楼及教师工作用房。</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val="en-US" w:eastAsia="zh-CN"/>
                <w14:textFill>
                  <w14:solidFill>
                    <w14:schemeClr w14:val="tx1"/>
                  </w14:solidFill>
                </w14:textFill>
              </w:rPr>
              <w:t>6.陆丰市高级技工学校：</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14:textFill>
                  <w14:solidFill>
                    <w14:schemeClr w14:val="tx1"/>
                  </w14:solidFill>
                </w14:textFill>
              </w:rPr>
              <w:t>推动职业技术教育，建设综合楼、图书馆、教学楼、实验实训楼、食堂、学生宿舍楼、教工宿舍、附属配套设施等。</w:t>
            </w:r>
          </w:p>
        </w:tc>
      </w:tr>
    </w:tbl>
    <w:p>
      <w:pPr>
        <w:widowControl/>
        <w:snapToGrid/>
        <w:spacing w:before="0" w:beforeAutospacing="0" w:after="0" w:afterAutospacing="0" w:line="600" w:lineRule="exact"/>
        <w:ind w:firstLine="64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bookmarkStart w:id="220" w:name="_Toc3756"/>
      <w:bookmarkStart w:id="221" w:name="_Toc10613"/>
      <w:bookmarkStart w:id="222" w:name="_Toc7424"/>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——加强教师队伍建设。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补充中小学缺编教师，推动落实每年引进全日制本科教师350人、定向培养150人，新增幼儿园教师约1000人。提高中职学校“双师型”教师比例和研究生以上学历教师比例。开展专业化教师及校长培训，提高教师思想道德素质和专业水平。进一步建设好市社区学院、镇场区社区学校、村（居）委社区教育站等社区教育阵地。到2025年，幼儿园专任教师专科学历达83％，小学专任教师本科以上学历达65%，初中专任教师本科以上学历达92％，高中（中职）专任教师研究生以上学历达14%；教师培训年度72学时以上达到95％。构建终身教育体系。全市接受社区教育服务的社区成员占全体成员比例达50%以上。</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8522" w:type="dxa"/>
          </w:tcPr>
          <w:p>
            <w:pPr>
              <w:pStyle w:val="15"/>
              <w:snapToGrid/>
              <w:spacing w:before="0" w:beforeAutospacing="0" w:after="0" w:afterAutospacing="0" w:line="400" w:lineRule="exact"/>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w:t>
            </w:r>
            <w:r>
              <w:rPr>
                <w:rFonts w:hint="default"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12-2</w:t>
            </w: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 xml:space="preserve"> 人才培育及就业培训重点工程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1.落实“红海扬帆计划”等人才工程：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鼓励用人单位自行引进人才。放宽对高精尖缺人才和青年拔尖人才在事业编制、岗位设置、工资总额方面限制，开辟紧缺高层次专技人才引进“绿色通道”。</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2.专技人才继续教育：</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完善继续教育综合管理与分级分类负责管理机制。推进继续教育培训内容和培训方式改革，提升公需科目线上培训免费服务质量。完善继续教育学时登记认定管理。</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3.开展大规模职业技能培训。</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行终身职业技能培训制度，鼓励各类企业开展职工培训。落实劳动力职业技能提升补贴政策，将市场需求大、社会影响广的培训项目纳入补贴范围。优化技能提升补贴申领方式，实现全程网上办理。完善远程职业培训公共服务平台。</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4.深入实施“粤菜师傅”工程。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加快推进“粤菜师傅”技能培训和职业教育。完善技工学校“粤菜师傅”培训基地和就业和人才服务中心“粤菜师傅”培训基地建设，实施“粤菜师傅+产业扶贫”行动。进一步强化技工学校“粤菜师傅大师工作室”。</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5.大力实施“广东技工”工程。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推进技工学校与企业共建高技能人才实训基地，支持企业建立首席技师机制，挖掘“领军型”高技能人才;加强年轻优秀技能人才的选拔培养</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新建一所高级技术学校</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6.推进“南粤家政”工程提质扩容。</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构建完善“南粤家政”高质量发展的信用体系、标准体系、产业体系和保障体系，实施母婴服务、居家服务、养老服务、医护服务四大项目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val="en-US" w:eastAsia="zh-CN"/>
                <w14:textFill>
                  <w14:solidFill>
                    <w14:schemeClr w14:val="tx1"/>
                  </w14:solidFill>
                </w14:textFill>
              </w:rPr>
              <w:t>和</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四大平台。创建一个“南粤家政”培训示范基地，实施“南粤家政”就业创业行动计划。大力推进“南粤家政”服务超市、基层服务站点建设。</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7.实施“乡村工匠”工程。</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开展乡村工匠技能培训，加强乡村工匠实用技能人才职业教育，优先开展校企合作。支持乡村工匠职称评定，开展乡村工匠职业技能竞赛。对乡村工匠创业人员及其创办的经营主体，按规定申请享受就业创业扶持优惠政策。大力开发相关领域就业岗位，创建一个面向乡村工匠创业人员的创业孵化基地。</w:t>
            </w:r>
          </w:p>
        </w:tc>
      </w:tr>
    </w:tbl>
    <w:p>
      <w:pPr>
        <w:adjustRightInd w:val="0"/>
        <w:snapToGrid w:val="0"/>
        <w:spacing w:line="200" w:lineRule="exact"/>
        <w:jc w:val="both"/>
        <w:outlineLvl w:val="1"/>
        <w:rPr>
          <w:rFonts w:hint="eastAsia" w:ascii="黑体" w:hAnsi="黑体" w:eastAsia="黑体" w:cs="仿宋"/>
          <w:color w:val="000000" w:themeColor="text1"/>
          <w:sz w:val="32"/>
          <w:szCs w:val="32"/>
          <w:highlight w:val="none"/>
          <w14:textFill>
            <w14:solidFill>
              <w14:schemeClr w14:val="tx1"/>
            </w14:solidFill>
          </w14:textFill>
        </w:rPr>
      </w:pP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23" w:name="_Toc10935"/>
      <w:r>
        <w:rPr>
          <w:rFonts w:hint="eastAsia" w:ascii="黑体" w:hAnsi="黑体" w:eastAsia="黑体" w:cs="仿宋"/>
          <w:color w:val="000000" w:themeColor="text1"/>
          <w:sz w:val="32"/>
          <w:szCs w:val="32"/>
          <w:highlight w:val="none"/>
          <w14:textFill>
            <w14:solidFill>
              <w14:schemeClr w14:val="tx1"/>
            </w14:solidFill>
          </w14:textFill>
        </w:rPr>
        <w:t xml:space="preserve">第三节 </w:t>
      </w:r>
      <w:bookmarkEnd w:id="220"/>
      <w:r>
        <w:rPr>
          <w:rFonts w:hint="eastAsia" w:ascii="黑体" w:hAnsi="黑体" w:eastAsia="黑体" w:cs="仿宋"/>
          <w:color w:val="000000" w:themeColor="text1"/>
          <w:sz w:val="32"/>
          <w:szCs w:val="32"/>
          <w:highlight w:val="none"/>
          <w14:textFill>
            <w14:solidFill>
              <w14:schemeClr w14:val="tx1"/>
            </w14:solidFill>
          </w14:textFill>
        </w:rPr>
        <w:t>全面推进健康陆丰建设</w:t>
      </w:r>
      <w:bookmarkEnd w:id="221"/>
      <w:bookmarkEnd w:id="222"/>
      <w:bookmarkEnd w:id="223"/>
    </w:p>
    <w:p>
      <w:pPr>
        <w:snapToGrid/>
        <w:spacing w:before="0" w:beforeAutospacing="0" w:after="0" w:afterAutospacing="0" w:line="600" w:lineRule="exact"/>
        <w:ind w:firstLine="64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——构建强大公共卫生体系。</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完善国民健康促进政策，织牢公共卫生防护网，为人民提供全方位全周期健康服务。完善新时期公共卫生机制建设，改革疾病预防控制体系，强化监测预警、风险评估、流行病学调查、检验检测、应急处置等职能。改善疾控基础条件，完善突发公共卫生事件监测预警处置机制，健全医疗救治、物资保障体系，提高应对突发公共卫生事件能力。构建医防结合的卫生服务体系，发挥政府主导作用，加强医疗卫生机构合作，深化医防结合，做好医疗机构和疾控之间的配套和衔接，加强公共卫生能力建设。优化公共卫生资源配置，建立稳定的公共卫生事业投入机制。加强公共卫生人才队伍建设，改革公共卫生领域的薪酬机制，引入公共卫生服务人员激励机制，提高公共卫生队伍的整体素质。</w:t>
      </w:r>
    </w:p>
    <w:p>
      <w:pPr>
        <w:snapToGrid/>
        <w:spacing w:before="0" w:beforeAutospacing="0" w:after="0" w:afterAutospacing="0" w:line="600" w:lineRule="exact"/>
        <w:ind w:firstLine="640"/>
        <w:jc w:val="both"/>
        <w:textAlignment w:val="baseline"/>
        <w:rPr>
          <w:b w:val="0"/>
          <w:i w:val="0"/>
          <w:caps w:val="0"/>
          <w:color w:val="000000" w:themeColor="text1"/>
          <w:spacing w:val="0"/>
          <w:w w:val="100"/>
          <w:sz w:val="20"/>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——推进医疗服务均衡发展。</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加大医疗信息化建设投入。</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大力推进智慧医疗、数字医疗建设，进一步改善服务环境、优化服务流程、提升服务质量；依托5</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G</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、A</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I</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大数据等技术建设市人民医院数字化信息系统和市全民健康信息系统，实现医疗卫生信息互联互通和资源共享，提高诊疗服务效率与质量。推进县级公立医院信息系统二期“智慧医院”建设，发展远程会诊、远程教育培训等便民服务。促进市人民医院与市第二、第三人民医院组建紧密型县域医共体，提升现需医疗服务体系整体运行效率和综合服务能力。</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创新医疗卫生管理体制和运行体制。</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系统整合区域医疗卫生资源，推进紧密型县域医疗卫生共同体建设；实施医药、医院、医保、医共体、数字医疗“五医联动”，多措并举加强医疗卫生行业综合监管，</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推进医疗卫生治理体系和治理能力现代化，不断提升群众的健康获得感、幸福感、安全感。</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推进市人民医院颐养园附属医院建设，实施医养结合服务。</w:t>
      </w:r>
    </w:p>
    <w:tbl>
      <w:tblPr>
        <w:tblStyle w:val="2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napToGrid/>
              <w:spacing w:before="0" w:beforeAutospacing="0" w:after="0" w:afterAutospacing="0" w:line="400" w:lineRule="exact"/>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专栏12-3：医疗卫生补短板重点工程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1.整体配套提升项目</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全市发热门诊（诊室）规范化建设：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完善市人民医院和市第二、第三人民医院发热门诊、核酸实验室及配套设备；建设市妇幼保健院、市中医医院核酸实验室及完善发热诊室的配套设施；完善16个基层发热诊室的规范化建设，包括甲东镇、甲西镇、湖东镇、内湖镇、陂洋镇、桥冲镇、八万镇、河东镇、大安镇、西南镇、上英镇、潭西镇、金厢镇、南塘镇、博美镇等14个（中心）卫生院和东海镇社区卫生服务中心。</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基层医疗机构配套设施：</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完善14家乡镇卫生院及3家社区卫生服务中心污水处理系统、空调系统、医疗垃圾处理、防辐射、医疗设备配置。</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区域卫生信息化建设：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实施全民健康信息系统建设，促进全市医疗卫生信息资源有机整合；推进市人民医院数字化信息系统建设</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2.陆丰市中医医院医疗工程建设项目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：建设发热门诊一体化、影像中心、功能科室升级、医院公用工程、门诊楼升级改造、远程医疗管理培训中心建设。</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3.</w:t>
            </w:r>
            <w:bookmarkStart w:id="224" w:name="_Toc4059"/>
            <w:bookmarkStart w:id="225" w:name="_Toc14196"/>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陆丰市人民医院传染病区建设项目</w:t>
            </w:r>
            <w:bookmarkEnd w:id="224"/>
            <w:bookmarkEnd w:id="225"/>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启动市人民医院传染病区建设项目，建设一栋高5层共100张床位的传染病区</w:t>
            </w:r>
            <w:bookmarkStart w:id="226" w:name="_Toc28715"/>
            <w:bookmarkStart w:id="227" w:name="_Toc23898"/>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4.陆丰市人民医院颐养园附属医院建设项目</w:t>
            </w:r>
            <w:bookmarkEnd w:id="226"/>
            <w:bookmarkEnd w:id="227"/>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推进全市医养结合工作开展，提升全市养老服务设施配套，市人民医院启动颐养园附属医院建设项目，规划建设一栋100张床位的综合病区</w:t>
            </w:r>
            <w:bookmarkStart w:id="228" w:name="_Toc32273"/>
            <w:bookmarkStart w:id="229" w:name="_Toc28106"/>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w:t>
            </w:r>
          </w:p>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5.陆丰市疾病预防控制中心新建项目</w:t>
            </w:r>
            <w:bookmarkEnd w:id="228"/>
            <w:bookmarkEnd w:id="229"/>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异地新建市疾控中心，建设工作用房，包括PCR(核酸检测)实验室、食品安全风险实验室、微生物实验室、理化实验室、临床实验室、艾滋病筛查实验室、疫苗存储普通冷库、低温冷库及其他业务工作用房等建设、应急物资储备库及其他业务工作用房等建设、完成污水处理系统、配套基础设施和实验室仪器设备。</w:t>
            </w:r>
          </w:p>
          <w:p>
            <w:pPr>
              <w:snapToGrid/>
              <w:spacing w:before="0" w:beforeAutospacing="0" w:after="0" w:afterAutospacing="0" w:line="400" w:lineRule="exact"/>
              <w:ind w:firstLine="562"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bookmarkStart w:id="230" w:name="_Toc18925"/>
            <w:bookmarkStart w:id="231" w:name="_Toc17827"/>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6.陆丰市第四人民医院（市精神病医院）建设项目</w:t>
            </w:r>
            <w:bookmarkEnd w:id="230"/>
            <w:bookmarkEnd w:id="231"/>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启动陆丰市第四人民医院（市精神病医院）建设项目。</w:t>
            </w:r>
          </w:p>
        </w:tc>
      </w:tr>
    </w:tbl>
    <w:p>
      <w:pPr>
        <w:adjustRightInd w:val="0"/>
        <w:snapToGrid w:val="0"/>
        <w:spacing w:line="2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32" w:name="_Toc17011"/>
      <w:bookmarkStart w:id="233" w:name="_Toc23099"/>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34" w:name="_Toc856"/>
      <w:r>
        <w:rPr>
          <w:rFonts w:hint="eastAsia" w:ascii="黑体" w:hAnsi="黑体" w:eastAsia="黑体" w:cs="仿宋"/>
          <w:color w:val="000000" w:themeColor="text1"/>
          <w:sz w:val="32"/>
          <w:szCs w:val="32"/>
          <w:highlight w:val="none"/>
          <w14:textFill>
            <w14:solidFill>
              <w14:schemeClr w14:val="tx1"/>
            </w14:solidFill>
          </w14:textFill>
        </w:rPr>
        <w:t>第四节 完善多层次社会保障体系</w:t>
      </w:r>
      <w:bookmarkEnd w:id="232"/>
      <w:bookmarkEnd w:id="233"/>
      <w:bookmarkEnd w:id="234"/>
    </w:p>
    <w:p>
      <w:pPr>
        <w:pStyle w:val="6"/>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——覆盖全民的社会保障体系更加完善</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社会保障方面。整合资源，探索建立社保工作激励机制，推进实施“全民参保计划”，不断健全联动机制，完善企业职工养老保险和城乡居民基本养老保险制度。养老、失业、工伤保险实现应保尽保，提高参保缴费质量；全面推进社会保险制度改革，不断提高统筹层次，健全多层次的社会保障体系。健全社保待遇确定和调整机制，实现城乡、区域、群体间保障水平合理衔接。完善社会保险基金投资运营制度，促进基金运行安全可持续。医疗保障方面，抓好异地就医直接结算，推进基础制度整合和完善，完善大病保险和医疗救助制度，提高经办服务效率，加快标准化和信息化建设。加快推进我市医保中心的筹建工作，紧抓乡镇机构改革的契机，落实经办服务下沉，窗口前移，更好地便民惠民。救助方面，强化困难群众兜底保障。确保困难群体生活水平与国民经济收入增长同步提高。落实社会救助和保障标准与物价上涨挂钩联动机制的价格临时补贴政策，补贴金额与物价涨幅同比例变动。优化社会救助申请和办理程序，充分利用“粤省事”等信息化手段，提高办理效率。健全退役军人工作体系和保障制度。统筹运用急难社会救助、专项救助和低保等基本生活救助政策。全力保障妇女儿童合法权益，提升对青年妇女儿童健康服务水平，设置青少年事务热线和妇女儿童维权热线，为青年妇女儿童提供维权和心理咨询服务，积极组织群众性文化、科技、体育活动，不断优化青年妇女儿童生存发展环境。健全老年人、残疾人关爱服务体系和设施，完善帮扶残疾人、孤儿等社会福利制度，建立健全孤儿基本生活最低养育标准自然增长机制。“十四五”期末，全市城镇职工基本养老保险、城乡居民基本养老保险、失业保险、工伤保险参保人数争取分别达到</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14.8</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万人、</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60</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万人、</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6.2</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万人、</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5.3</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万人。</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35" w:name="_Toc3088"/>
      <w:bookmarkStart w:id="236" w:name="_Toc18191"/>
      <w:bookmarkStart w:id="237" w:name="_Toc3878"/>
      <w:r>
        <w:rPr>
          <w:rFonts w:hint="eastAsia" w:ascii="黑体" w:hAnsi="黑体" w:eastAsia="黑体" w:cs="仿宋"/>
          <w:color w:val="000000" w:themeColor="text1"/>
          <w:sz w:val="32"/>
          <w:szCs w:val="32"/>
          <w:highlight w:val="none"/>
          <w14:textFill>
            <w14:solidFill>
              <w14:schemeClr w14:val="tx1"/>
            </w14:solidFill>
          </w14:textFill>
        </w:rPr>
        <w:t>第五节 实施积极应对人口老龄化国家战略</w:t>
      </w:r>
      <w:bookmarkEnd w:id="235"/>
      <w:bookmarkEnd w:id="236"/>
      <w:bookmarkEnd w:id="237"/>
    </w:p>
    <w:p>
      <w:pPr>
        <w:snapToGrid/>
        <w:spacing w:before="0" w:beforeAutospacing="0" w:after="0" w:afterAutospacing="0" w:line="600" w:lineRule="exact"/>
        <w:ind w:firstLine="643" w:firstLineChars="200"/>
        <w:jc w:val="both"/>
        <w:textAlignment w:val="baseline"/>
        <w:rPr>
          <w:rFonts w:hint="eastAsia" w:ascii="仿宋_GB2312" w:hAnsi="仿宋" w:eastAsia="仿宋_GB2312" w:cs="仿宋"/>
          <w:b w:val="0"/>
          <w:bCs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 w:eastAsia="仿宋_GB2312" w:cs="仿宋"/>
          <w:b/>
          <w:bCs/>
          <w:i w:val="0"/>
          <w:caps w:val="0"/>
          <w:color w:val="000000" w:themeColor="text1"/>
          <w:spacing w:val="0"/>
          <w:w w:val="100"/>
          <w:sz w:val="32"/>
          <w:szCs w:val="32"/>
          <w:highlight w:val="none"/>
          <w:u w:val="none" w:color="auto"/>
          <w14:textFill>
            <w14:solidFill>
              <w14:schemeClr w14:val="tx1"/>
            </w14:solidFill>
          </w14:textFill>
        </w:rPr>
        <w:t>——推动人口结构优化。</w:t>
      </w:r>
      <w:r>
        <w:rPr>
          <w:rFonts w:hint="eastAsia" w:ascii="仿宋_GB2312" w:hAnsi="仿宋" w:eastAsia="仿宋_GB2312" w:cs="仿宋"/>
          <w:b w:val="0"/>
          <w:i w:val="0"/>
          <w:caps w:val="0"/>
          <w:color w:val="000000" w:themeColor="text1"/>
          <w:spacing w:val="0"/>
          <w:w w:val="100"/>
          <w:sz w:val="32"/>
          <w:szCs w:val="32"/>
          <w:highlight w:val="none"/>
          <w:u w:val="none" w:color="auto"/>
          <w14:textFill>
            <w14:solidFill>
              <w14:schemeClr w14:val="tx1"/>
            </w14:solidFill>
          </w14:textFill>
        </w:rPr>
        <w:t xml:space="preserve">健全人口与发展综合决策机制，促进人口与经济活动、人口与基础设施及公共服务的空间匹配，实现可持续发展。促进人口合理分布，引导人口向优化开发和重点开发区域适度集聚，加大环境治理与保护力度，提升城市人口承载力。完善人口发展政策体系，坚持男女平等基本国策，积极转变人口调控理念和方法，统筹解决人口均衡发展问题，提高人口管理水平，形成人口与经济社会发展相协调的良性循环。健全服务体系，发展普惠托育服务体系，降低生育、养育、教育成本，优化生育服务，促进人口长期均衡发展，提高人口素质。 </w:t>
      </w:r>
    </w:p>
    <w:p>
      <w:pPr>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 w:eastAsia="仿宋_GB2312" w:cs="仿宋"/>
          <w:b/>
          <w:bCs/>
          <w:i w:val="0"/>
          <w:caps w:val="0"/>
          <w:color w:val="000000" w:themeColor="text1"/>
          <w:spacing w:val="0"/>
          <w:w w:val="100"/>
          <w:sz w:val="32"/>
          <w:szCs w:val="32"/>
          <w:highlight w:val="none"/>
          <w:u w:val="none" w:color="auto"/>
          <w14:textFill>
            <w14:solidFill>
              <w14:schemeClr w14:val="tx1"/>
            </w14:solidFill>
          </w14:textFill>
        </w:rPr>
        <w:t>——构建居家社区机构相协调、医养康养相结合的养老服务体系。</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推动市</w:t>
      </w:r>
      <w:r>
        <w:rPr>
          <w:rFonts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颐养园</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附属</w:t>
      </w:r>
      <w:r>
        <w:rPr>
          <w:rFonts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医院、镇级敬老院提质升级工程</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，大力推进医养结合，探索建设区域性健康养老示范基地，打造以居家为基础、社区为依托、机构为补充、医养相结合的多层次养老服务体系。</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建立公办养老机构入住评估轮候制度，建设1间符合三星级以上标准，以失能、部分失能特困人员专业照护为主的县级供养服务设施（敬老院），实现镇级敬老院100%覆盖。养老服务设施覆盖100%的城镇社区和60%以上的农村社区，所有街道和有条件的乡镇至少建有一家居家社区养老服务机构，提供具备全托、日托、上门服务、对下指导等综合功能的居家社区养老服务；社区日间照料机构覆盖率达到90%以上，社区15分钟居家养老服务圈基本建成，居家社区养老紧急救援系统基本建立。推进医养康养融合发展，支持养老机构、医疗机构开展多种形式的合作，提升社区医养结合能力。建设1家设有老年病医院、康复医院、护理院或中医院等的养老机构，养老机构与协议合作的医疗机构普遍开通双向转介绿色通道，所有医疗机构开设为老年人提供挂号、就医等便利服务的绿色通道，基层医疗卫生机构与居家社区养老机构实现紧密融合。</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00" w:lineRule="exact"/>
              <w:ind w:left="0" w:leftChars="0"/>
              <w:jc w:val="center"/>
              <w:textAlignment w:val="baseline"/>
              <w:rPr>
                <w:rFonts w:ascii="仿宋_GB2312" w:eastAsia="仿宋_GB2312"/>
                <w:b w:val="0"/>
                <w:i w:val="0"/>
                <w:caps w:val="0"/>
                <w:color w:val="000000" w:themeColor="text1"/>
                <w:spacing w:val="0"/>
                <w:w w:val="100"/>
                <w:sz w:val="21"/>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专栏12-4：养老服务基础设施建设重点工程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napToGrid/>
              <w:spacing w:before="0" w:beforeAutospacing="0" w:after="0" w:afterAutospacing="0" w:line="400" w:lineRule="exact"/>
              <w:ind w:firstLine="562" w:firstLineChars="200"/>
              <w:jc w:val="both"/>
              <w:textAlignment w:val="baseline"/>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1.养老服务设施补短板</w:t>
            </w: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lang w:eastAsia="zh-CN"/>
                <w14:textFill>
                  <w14:solidFill>
                    <w14:schemeClr w14:val="tx1"/>
                  </w14:solidFill>
                </w14:textFill>
              </w:rPr>
              <w:t>：</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lang w:val="en-US" w:eastAsia="zh-CN"/>
                <w14:textFill>
                  <w14:solidFill>
                    <w14:schemeClr w14:val="tx1"/>
                  </w14:solidFill>
                </w14:textFill>
              </w:rPr>
              <w:t>将</w:t>
            </w:r>
            <w:r>
              <w:rPr>
                <w:rFonts w:hint="eastAsia" w:asciiTheme="minorEastAsia" w:hAnsiTheme="minorEastAsia" w:eastAsiaTheme="minorEastAsia" w:cstheme="minorEastAsia"/>
                <w:b w:val="0"/>
                <w:bCs w:val="0"/>
                <w:i w:val="0"/>
                <w:caps w:val="0"/>
                <w:color w:val="000000" w:themeColor="text1"/>
                <w:spacing w:val="0"/>
                <w:w w:val="100"/>
                <w:sz w:val="28"/>
                <w:szCs w:val="28"/>
                <w:highlight w:val="none"/>
                <w:u w:val="none" w:color="auto"/>
                <w14:textFill>
                  <w14:solidFill>
                    <w14:schemeClr w14:val="tx1"/>
                  </w14:solidFill>
                </w14:textFill>
              </w:rPr>
              <w:t>居</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家社区养老服务设施纳入城乡社区配套用房建设范围，新建住宅小区按每百户不低于20平方米的标准配套建设养老服务设施，并在规划设计条件中予以明确。到2022年，全市新建住宅小区配建养老服务设施百分百达标。按照每百户不低于15平方米的标准，通过新建、改建、购置、置换和租赁等方式进行配置。</w:t>
            </w:r>
          </w:p>
          <w:p>
            <w:pPr>
              <w:snapToGrid/>
              <w:spacing w:before="0" w:beforeAutospacing="0" w:after="0" w:afterAutospacing="0" w:line="400" w:lineRule="exact"/>
              <w:ind w:firstLine="562" w:firstLineChars="200"/>
              <w:jc w:val="both"/>
              <w:textAlignment w:val="baseline"/>
              <w:rPr>
                <w:rFonts w:ascii="仿宋_GB2312" w:eastAsia="仿宋_GB2312"/>
                <w:b w:val="0"/>
                <w:i w:val="0"/>
                <w:caps w:val="0"/>
                <w:color w:val="000000" w:themeColor="text1"/>
                <w:spacing w:val="0"/>
                <w:w w:val="100"/>
                <w:sz w:val="24"/>
                <w:highlight w:val="none"/>
                <w:u w:val="none" w:color="auto"/>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sz w:val="28"/>
                <w:szCs w:val="28"/>
                <w:highlight w:val="none"/>
                <w:u w:val="none" w:color="auto"/>
                <w14:textFill>
                  <w14:solidFill>
                    <w14:schemeClr w14:val="tx1"/>
                  </w14:solidFill>
                </w14:textFill>
              </w:rPr>
              <w:t>2.制定整合闲置资源改造成养老服务设施的政策：</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鼓励将符合“三旧”改造条件的村级工业园、旧厂房、旧村庄等场所改造成养老服务设施。对城镇现有闲置设施及农村集体用地上盖建筑物进行改造利用举办养老服务机构的，可先按养老设施使用，后改变土地使用性质。将闲置公有房产优先用于养老服务，租赁期限延长至15年。</w:t>
            </w:r>
          </w:p>
        </w:tc>
      </w:tr>
    </w:tbl>
    <w:p>
      <w:pPr>
        <w:snapToGrid w:val="0"/>
        <w:spacing w:before="0" w:beforeAutospacing="0" w:after="0" w:afterAutospacing="0" w:line="600" w:lineRule="exact"/>
        <w:jc w:val="center"/>
        <w:textAlignment w:val="baseline"/>
        <w:rPr>
          <w:rFonts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pPr>
      <w:bookmarkStart w:id="238" w:name="_Toc24301"/>
      <w:bookmarkStart w:id="239" w:name="_Toc18773"/>
      <w:bookmarkStart w:id="240" w:name="_Toc26235"/>
      <w:r>
        <w:rPr>
          <w:rFonts w:hint="eastAsia" w:ascii="仿宋" w:hAnsi="仿宋" w:eastAsia="仿宋" w:cs="仿宋"/>
          <w:b/>
          <w:bCs/>
          <w:i w:val="0"/>
          <w:caps w:val="0"/>
          <w:color w:val="000000" w:themeColor="text1"/>
          <w:spacing w:val="0"/>
          <w:w w:val="100"/>
          <w:sz w:val="32"/>
          <w:szCs w:val="32"/>
          <w:highlight w:val="none"/>
          <w:u w:val="none" w:color="auto"/>
          <w14:textFill>
            <w14:solidFill>
              <w14:schemeClr w14:val="tx1"/>
            </w14:solidFill>
          </w14:textFill>
        </w:rPr>
        <w:t>第六节 加强和创新社会治理</w:t>
      </w:r>
      <w:bookmarkEnd w:id="238"/>
      <w:bookmarkEnd w:id="239"/>
      <w:bookmarkEnd w:id="240"/>
    </w:p>
    <w:p>
      <w:pPr>
        <w:snapToGrid/>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创新社会治理体制机制，打造共治、自治、法治、德治、善治“五治一体”新时代陆丰社会治理新模式，推进社会治理体系和治理能力现代化，建设社会治理共同体。</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——夯实治理基础推进基层善治。</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持续深化创新城乡社区治理示范试点工作，以“党建+”为引领，加强“红色村”建设，运用“大数据+网格化+群众路线”工作机制，进一步完善镇村组三级基层治理网格化、智慧化管理架构，全面提升全</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市</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治理体系和治理能力现代化水平。</w:t>
      </w:r>
      <w:r>
        <w:rPr>
          <w:rFonts w:hint="eastAsia" w:ascii="仿宋_GB2312" w:eastAsia="仿宋_GB2312"/>
          <w:color w:val="000000" w:themeColor="text1"/>
          <w:sz w:val="32"/>
          <w:szCs w:val="32"/>
          <w:highlight w:val="none"/>
          <w:lang w:val="en-US" w:eastAsia="zh-CN"/>
          <w14:textFill>
            <w14:solidFill>
              <w14:schemeClr w14:val="tx1"/>
            </w14:solidFill>
          </w14:textFill>
        </w:rPr>
        <w:t>打造新时代陆丰特色“枫桥经验”升级版，推进现代化科技手段与传统群防群治有机结合，加快绘制民情地图，畅通和规范群众诉求、利益协调、权益保障机制，筑牢织密综合治理“一张网”，不断提高社会治理精细化、专业化、规范化。</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进一步加强农村基层党组织规范化建设，科学合理设置基层党组织，深入实施“头雁”工程，大力推动村党组织书记、村委会主任、村集体经济组织或农民合作组织负责人三个职务“一肩挑”，</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争取</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为每个村至少动态培养2名村基层党</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eastAsia="zh-CN"/>
          <w14:textFill>
            <w14:solidFill>
              <w14:schemeClr w14:val="tx1"/>
            </w14:solidFill>
          </w14:textFill>
        </w:rPr>
        <w:t>组织</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后备干部。深入开展机关干部“返乡走亲”、“双报到，双服务”，镇</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（场、区）</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干部“驻村连心”、基层党员“联户交心”活动，加强驻村第一书记选派管理。完善协商议事制度，建立多元治理机制，落实“四议两公开”制度，推广村（社区）党群议事会</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议</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制度，建立党组织领导、村（居）委会组织群众广泛参与、社会组织联动的合理有序的协商议事制度体系。健全以财政投入为主、村级组织运转经费</w:t>
      </w:r>
      <w:r>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为辅的</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保障机制。加强农村纪检监察工作，充分发挥基层党组织监督作用。深入推进农村扫黑除恶专项斗争，推动全面从严治党向基层延伸。</w:t>
      </w:r>
    </w:p>
    <w:p>
      <w:pPr>
        <w:snapToGrid/>
        <w:spacing w:before="0" w:beforeAutospacing="0" w:after="0" w:afterAutospacing="0" w:line="60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——强化综合治理力度。</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坚持以禁毒重点整治争取创建禁毒示范城市为目标，</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深入</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推进社会治安重点整治和“飓风”等专项行动，全面加强打击违法犯罪工作。继续深化禁毒工作，推进禁毒工作向“执法打击、预防宣传、社会帮教工作同时发力”转变，确保毒品犯罪不再回流反弹。建立健全遏制黑恶势力滋生蔓延的长效机制,铲除黑恶势力的滋生土壤。健全完善整治走私经营“洋垃圾”长效机制,防止碣石镇“洋垃圾”死灰复燃。继续压实细化层级责任，推进禁毒、打假、反走私、自然资源保护网格化管理。开展非法集资、互联网金融风险专项整治，打赢防范化解重大风险攻坚战。</w:t>
      </w:r>
    </w:p>
    <w:p>
      <w:pPr>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zh-CN"/>
          <w14:textFill>
            <w14:solidFill>
              <w14:schemeClr w14:val="tx1"/>
            </w14:solidFill>
          </w14:textFill>
        </w:rPr>
        <w:t>——加强基层社会治理。</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t>扎实推进创新城乡社区治理试点工作,推动“互联网+政务服务”体系延伸到城乡社区,提升社区政务服务和公共管理水平。健全基层治理体系,发挥基层党组织的主心骨作用。充分发挥村(社区)公共服务中心(站)和议事会等各类村民自治组织的积极作用,全面提升基层自治能力和服务水平。支持和鼓励工青妇等群团组织发挥桥梁纽带作用，推动各类社会组织参与社会治理。加强社工人才队伍和志愿者队伍建设。滚动排查化解社会矛盾,集中力量解决重点领域、重点利益诉求群体的突出矛盾,最大限度减少基层不稳定因素。</w:t>
      </w:r>
    </w:p>
    <w:tbl>
      <w:tblPr>
        <w:tblStyle w:val="2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4"/>
              <w:snapToGrid/>
              <w:spacing w:before="0" w:beforeAutospacing="0" w:after="0" w:afterAutospacing="0" w:line="400" w:lineRule="exact"/>
              <w:ind w:left="0" w:leftChars="0"/>
              <w:jc w:val="center"/>
              <w:textAlignment w:val="baseline"/>
              <w:rPr>
                <w:rFonts w:ascii="仿宋_GB2312" w:eastAsia="仿宋_GB2312"/>
                <w:b w:val="0"/>
                <w:i w:val="0"/>
                <w:caps w:val="0"/>
                <w:color w:val="000000" w:themeColor="text1"/>
                <w:spacing w:val="0"/>
                <w:w w:val="100"/>
                <w:sz w:val="21"/>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专栏12-5：加强和创新社会治理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562" w:firstLineChars="200"/>
              <w:jc w:val="both"/>
              <w:textAlignment w:val="baseline"/>
              <w:rPr>
                <w:rFonts w:hint="default" w:ascii="仿宋_GB2312" w:eastAsia="仿宋_GB2312"/>
                <w:b w:val="0"/>
                <w:i w:val="0"/>
                <w:caps w:val="0"/>
                <w:color w:val="000000" w:themeColor="text1"/>
                <w:spacing w:val="0"/>
                <w:w w:val="100"/>
                <w:sz w:val="24"/>
                <w:highlight w:val="none"/>
                <w:u w:val="none" w:color="auto"/>
                <w:lang w:val="en-US"/>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w w:val="100"/>
                <w:kern w:val="2"/>
                <w:sz w:val="28"/>
                <w:szCs w:val="28"/>
                <w:highlight w:val="none"/>
                <w:u w:val="none" w:color="auto"/>
                <w:lang w:val="en-US" w:eastAsia="zh-CN" w:bidi="ar-SA"/>
                <w14:textFill>
                  <w14:solidFill>
                    <w14:schemeClr w14:val="tx1"/>
                  </w14:solidFill>
                </w14:textFill>
              </w:rPr>
              <w:t>陆丰市民情地图工程：</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打造新时代陆丰特色“枫桥经验”升级版，推进现代化科技手段与传统群防群治有机结合，加快绘制民情地图，畅通和规范群众诉求、利益协调、权益保障机制，筑牢织密综合治理“一张网”，不断提高社会治理精细化、专业化、规范化。完善（市、镇、村）三级综治中心、建设市、镇联勤指挥中心等。</w:t>
            </w:r>
          </w:p>
        </w:tc>
      </w:tr>
    </w:tbl>
    <w:p>
      <w:pPr>
        <w:adjustRightInd w:val="0"/>
        <w:snapToGrid w:val="0"/>
        <w:spacing w:line="800" w:lineRule="exact"/>
        <w:jc w:val="center"/>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bookmarkStart w:id="241" w:name="_Toc7157"/>
      <w:bookmarkStart w:id="242" w:name="_Toc59331274"/>
      <w:bookmarkStart w:id="243" w:name="_Toc58320438"/>
      <w:bookmarkStart w:id="244" w:name="_Toc21955"/>
      <w:bookmarkStart w:id="245" w:name="_Toc8639"/>
      <w:bookmarkStart w:id="246" w:name="_Toc599"/>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第十三章 </w:t>
      </w:r>
      <w:bookmarkEnd w:id="241"/>
      <w:bookmarkEnd w:id="242"/>
      <w:bookmarkEnd w:id="243"/>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答好发展和安全两张卷，建设更高水平平安陆丰</w:t>
      </w:r>
      <w:bookmarkEnd w:id="244"/>
      <w:bookmarkEnd w:id="245"/>
      <w:bookmarkEnd w:id="246"/>
    </w:p>
    <w:p>
      <w:pPr>
        <w:snapToGrid w:val="0"/>
        <w:spacing w:before="0" w:beforeAutospacing="0" w:after="0" w:afterAutospacing="0" w:line="600" w:lineRule="exact"/>
        <w:ind w:firstLine="641"/>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全面落实总体国家安全观，统筹发展和安全，坚持人民安全、政治安全、国家利益至上有机统一，把安全发展贯穿</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我市</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发展各领域和全过程，防范和化解影响现代化进程的各种风险。</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bidi="ar"/>
          <w14:textFill>
            <w14:solidFill>
              <w14:schemeClr w14:val="tx1"/>
            </w14:solidFill>
          </w14:textFill>
        </w:rPr>
        <w:t>围绕政治更安全、社会更安定、人民更安宁“三大目标”，着力打好市域治理主动仗和平安建设翻身仗“两场大仗”，</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高水平建设平安陆丰、无毒陆丰和法制陆丰。</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47" w:name="_Toc59331275"/>
      <w:bookmarkStart w:id="248" w:name="_Toc29418"/>
      <w:bookmarkStart w:id="249" w:name="_Toc58320439"/>
      <w:bookmarkStart w:id="250" w:name="_Toc7447"/>
      <w:bookmarkStart w:id="251" w:name="_Toc7656"/>
      <w:bookmarkStart w:id="252" w:name="_Toc22712"/>
      <w:r>
        <w:rPr>
          <w:rFonts w:hint="eastAsia" w:ascii="黑体" w:hAnsi="黑体" w:eastAsia="黑体" w:cs="仿宋"/>
          <w:color w:val="000000" w:themeColor="text1"/>
          <w:sz w:val="32"/>
          <w:szCs w:val="32"/>
          <w:highlight w:val="none"/>
          <w14:textFill>
            <w14:solidFill>
              <w14:schemeClr w14:val="tx1"/>
            </w14:solidFill>
          </w14:textFill>
        </w:rPr>
        <w:t xml:space="preserve">第一节 </w:t>
      </w:r>
      <w:bookmarkEnd w:id="247"/>
      <w:bookmarkEnd w:id="248"/>
      <w:bookmarkEnd w:id="249"/>
      <w:r>
        <w:rPr>
          <w:rFonts w:hint="eastAsia" w:ascii="黑体" w:hAnsi="黑体" w:eastAsia="黑体" w:cs="仿宋"/>
          <w:color w:val="000000" w:themeColor="text1"/>
          <w:sz w:val="32"/>
          <w:szCs w:val="32"/>
          <w:highlight w:val="none"/>
          <w14:textFill>
            <w14:solidFill>
              <w14:schemeClr w14:val="tx1"/>
            </w14:solidFill>
          </w14:textFill>
        </w:rPr>
        <w:t>加强国家安全能力建设</w:t>
      </w:r>
      <w:bookmarkEnd w:id="250"/>
      <w:bookmarkEnd w:id="251"/>
      <w:bookmarkEnd w:id="252"/>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加强国家安全体系建设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健全国家安全政策体系、人才体系和运行机制。贯彻落实《国家安全法》，健全国家安全审查和监管制度，加强国家安全执法。加强国家安全宣传教育，增强全民国家安全意识，巩固国家安全人民防线。完善全国全省全市“一盘棋”应急响应机制和重大突发事件“四个一”应急处置机制。</w:t>
      </w:r>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加强意识形态安全建设。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坚定维护国家政权安全、制度安全、意识形态安全，严密防范和严厉打击敌对势力渗透、破坏、颠覆、分裂活动。加强网络、高校、青年等重要阵地管理建设，深入实施网络意识形态“护城河”工程，全面加强网络安全保障体系和能力建设，强化关键信息基础设施防护，加强网络安全信息统筹机制、手段、平台建设，不断创新网络安全人才培养使用机制，深入开展网络安全知识技能普及工作，全方位铸造网络安全的“金钟罩”。</w:t>
      </w:r>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加强国防动员能力建设。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完善国民经济动员体制机制, 统筹人民武装动员、国民经济动员、人民防空动员、交通运输动员、科技装备动员、网络信息动员、政治动员等重点工作，加快构建与经济发展相协调、与遂行保障打赢相匹配的国防动员体系。加强国防后备力量建设, 促进军民深度融合发展。广泛开展国防教育，推进双拥共建工作。</w:t>
      </w:r>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加强经济安全能力建设。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提高经济风险预警、防控机制和能力建设，实现重要产业、基础设施、战略资源、重大科技等领域安全可控。维护重大基础设施安全。建立完善水利、电力、供水、油气、交通、通信、网络、金融等重要基础设施安全预警、隐患排查与应急响应机制，维护重要基础设施安全，提高水资源集约安全利用水平。保障粮食安全。牢牢守住耕地红线，加快高标准农田建设，保护农民种粮积极性，推动藏粮于地、藏粮于技落实落地，提升粮食生产能力和抗灾能力。落实地方粮食储备规模，优化储备布局和品种结构，完善粮食仓储物流体系，构建储备功能完善、品种结构优化、储存方式灵活、承储主体多元、粮食储备安全的储备体系。完善粮食调控和监管机制，加强粮食产销合作，推进“放心粮油”工程建设，维护粮食市场秩序，保障军需民食。完善粮食应急供应保障和监测预警体系，及时处置突发事件。完善粮食安全责任考核机制和责任追究机制。</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53" w:name="_Toc58320440"/>
      <w:bookmarkStart w:id="254" w:name="_Toc25903"/>
      <w:bookmarkStart w:id="255" w:name="_Toc59331276"/>
      <w:bookmarkStart w:id="256" w:name="_Toc251"/>
      <w:bookmarkStart w:id="257" w:name="_Toc10995"/>
      <w:bookmarkStart w:id="258" w:name="_Toc22277"/>
      <w:r>
        <w:rPr>
          <w:rFonts w:hint="eastAsia" w:ascii="黑体" w:hAnsi="黑体" w:eastAsia="黑体" w:cs="仿宋"/>
          <w:color w:val="000000" w:themeColor="text1"/>
          <w:sz w:val="32"/>
          <w:szCs w:val="32"/>
          <w:highlight w:val="none"/>
          <w14:textFill>
            <w14:solidFill>
              <w14:schemeClr w14:val="tx1"/>
            </w14:solidFill>
          </w14:textFill>
        </w:rPr>
        <w:t xml:space="preserve">第二节 </w:t>
      </w:r>
      <w:bookmarkEnd w:id="253"/>
      <w:bookmarkEnd w:id="254"/>
      <w:bookmarkEnd w:id="255"/>
      <w:r>
        <w:rPr>
          <w:rFonts w:hint="eastAsia" w:ascii="黑体" w:hAnsi="黑体" w:eastAsia="黑体" w:cs="仿宋"/>
          <w:color w:val="000000" w:themeColor="text1"/>
          <w:sz w:val="32"/>
          <w:szCs w:val="32"/>
          <w:highlight w:val="none"/>
          <w14:textFill>
            <w14:solidFill>
              <w14:schemeClr w14:val="tx1"/>
            </w14:solidFill>
          </w14:textFill>
        </w:rPr>
        <w:t>积极防范化解重大风险</w:t>
      </w:r>
      <w:bookmarkEnd w:id="256"/>
      <w:bookmarkEnd w:id="257"/>
      <w:bookmarkEnd w:id="258"/>
    </w:p>
    <w:p>
      <w:pPr>
        <w:snapToGrid w:val="0"/>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健全防范化解重大风险领导机制，防范化解政治、意识形态、经济、生物、科技、社会等重点领域重大风险，维护金融安全，着力防范化解金融领域风险，牢牢守住政府债务限额警戒线，防范经济领域风险向社会、民生等领域传导。确保生态安全，维护新型领域安全。健全重大风险分析研判、常态化风险隐患监测机制，建立新业态新领域安全风险评估、管理机制。充分利用大数据、人工智能等新工具新模式，实现风险识别更精准、风险响应更迅速、风险处置更稳妥。充分发挥制度效能，巩固提升有效工作机制，加强风险研判、评估、防控协同等制度建设，不断提高风险防范科学化水平。</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59" w:name="_Toc58320441"/>
      <w:bookmarkStart w:id="260" w:name="_Toc17952"/>
      <w:bookmarkStart w:id="261" w:name="_Toc59331277"/>
      <w:bookmarkStart w:id="262" w:name="_Toc27810"/>
      <w:bookmarkStart w:id="263" w:name="_Toc1736"/>
      <w:bookmarkStart w:id="264" w:name="_Toc14048"/>
      <w:r>
        <w:rPr>
          <w:rFonts w:hint="eastAsia" w:ascii="黑体" w:hAnsi="黑体" w:eastAsia="黑体" w:cs="仿宋"/>
          <w:color w:val="000000" w:themeColor="text1"/>
          <w:sz w:val="32"/>
          <w:szCs w:val="32"/>
          <w:highlight w:val="none"/>
          <w14:textFill>
            <w14:solidFill>
              <w14:schemeClr w14:val="tx1"/>
            </w14:solidFill>
          </w14:textFill>
        </w:rPr>
        <w:t xml:space="preserve">第三节 </w:t>
      </w:r>
      <w:bookmarkEnd w:id="259"/>
      <w:bookmarkEnd w:id="260"/>
      <w:bookmarkEnd w:id="261"/>
      <w:r>
        <w:rPr>
          <w:rFonts w:hint="eastAsia" w:ascii="黑体" w:hAnsi="黑体" w:eastAsia="黑体" w:cs="仿宋"/>
          <w:color w:val="000000" w:themeColor="text1"/>
          <w:sz w:val="32"/>
          <w:szCs w:val="32"/>
          <w:highlight w:val="none"/>
          <w14:textFill>
            <w14:solidFill>
              <w14:schemeClr w14:val="tx1"/>
            </w14:solidFill>
          </w14:textFill>
        </w:rPr>
        <w:t>着力健全公共安全体系</w:t>
      </w:r>
      <w:bookmarkEnd w:id="262"/>
      <w:bookmarkEnd w:id="263"/>
      <w:bookmarkEnd w:id="264"/>
    </w:p>
    <w:p>
      <w:pPr>
        <w:snapToGrid w:val="0"/>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坚持人民至上、生命至上，把保护人民生命安全摆在首位，全面提高公共安全保障能力。</w:t>
      </w:r>
    </w:p>
    <w:p>
      <w:pPr>
        <w:pStyle w:val="59"/>
        <w:snapToGrid/>
        <w:spacing w:before="0" w:beforeAutospacing="0" w:after="0" w:afterAutospacing="0" w:line="590" w:lineRule="exact"/>
        <w:ind w:firstLine="643" w:firstLineChars="200"/>
        <w:jc w:val="both"/>
        <w:textAlignment w:val="baseline"/>
        <w:rPr>
          <w:rFonts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推动落实“四长制”，强化陆域和海上公共安全管理。</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常态化推进“四长制”，进一步对全市港（岙）口按照“一区一域、一船一位、一船一号”进行划分，配齐渔船管理网格员、海岸线巡逻员，全面规范管理，巩固扩大涉渔涉海“一打一拆三整治”工作成果，实现“依湾管港、依港管船、依船管人”的目标。严格按照各环节要求落实责任分工，形成合力，实现全市190多公里海岸线闭环式管理，努力构建布局合理、产权清晰、功能完备、管理先进、生态良好的现代海湾、渔港、岙口体系。</w:t>
      </w:r>
    </w:p>
    <w:p>
      <w:pPr>
        <w:snapToGrid w:val="0"/>
        <w:spacing w:before="0" w:beforeAutospacing="0" w:after="0" w:afterAutospacing="0" w:line="59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加强安全生产监管。</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扎实推进安全生产，完善安全生产责任体系，强化安全生产责任制考核，推动安全生产责任全员全岗位全覆盖。加强安全生产监管执法，实施安全生产专项治理工程，加强安全生产重大风险管控和重大隐患整改，严厉打击安全生产违法违规行为，全力遏制防范道路交通、建筑施工、渔业船舶等重特大安全事故。加强职业健康监管，强化职业病危害源头管控，持续开展职业卫生执法监察联合行动，大力防控重点行业职业病危害。加强安全生产应急管理，完善安全生产应急预案，建立安全生产应急协调机制，健全生产安全事故快速响应机制，提升安全生产应急处置能力。建设陆丰安全生产综合信息平台，构建全区统一的事故隐患排查治理信息管理平台。深入开展城市风险点危险源排查整治专项行动，</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加大消防宣传，</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强化城市安全风险识别管控和隐患排查整改，加强城市安全管理，保障城市公共安全。</w:t>
      </w:r>
    </w:p>
    <w:p>
      <w:pPr>
        <w:snapToGrid w:val="0"/>
        <w:spacing w:before="0" w:beforeAutospacing="0" w:after="0" w:afterAutospacing="0" w:line="59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bookmarkStart w:id="265" w:name="_Hlk58147540"/>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建设广东省食品安全示范县。</w:t>
      </w:r>
      <w:bookmarkEnd w:id="265"/>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深入实施食品安全战略，严格落实党政同责和属地管理责任、生产经营者主体责任，形成严密高效、社会共治的食品安全治理体系。加强食品药品安全监管, 建立完善最严格的覆盖全过程的监管制度、食品原产地可追溯制度和质量标识制度；完善产地准出、市场准入、问题食品药品召回制度。突出加强学校校园及周边食品安全监管，针对重点食品药品、重点区域和重点时段开展食品药品安全专项整治，实施信用监管、“双随机、一公开”等新型监管机制，严惩制假、贩假等违法犯罪行为, 切实保证食品药品质量和安全。推动涵盖食品药品等监管领域的市场监管信息化监管平台建设，提高市场监管智能化、信息化水平。深入开展食品“双安双创”工作，开展食品安全示范单位、示范街的建设工作，积极打造成环境优雅、管理规范、配套设施完善的餐饮美食街、美食店。加强食品药品安全宣传教育工作。</w:t>
      </w:r>
    </w:p>
    <w:p>
      <w:pPr>
        <w:pStyle w:val="60"/>
        <w:snapToGrid/>
        <w:spacing w:before="0" w:beforeAutospacing="0" w:after="0" w:afterAutospacing="0" w:line="590" w:lineRule="exact"/>
        <w:ind w:left="0" w:leftChars="0" w:firstLine="643" w:firstLineChars="200"/>
        <w:jc w:val="both"/>
        <w:textAlignment w:val="baseline"/>
        <w:rPr>
          <w:rFonts w:ascii="Times New Roman" w:hAnsi="Times New Roman" w:eastAsia="宋体" w:cs="Times New Roman"/>
          <w:b w:val="0"/>
          <w:i w:val="0"/>
          <w:caps w:val="0"/>
          <w:color w:val="000000" w:themeColor="text1"/>
          <w:spacing w:val="0"/>
          <w:w w:val="100"/>
          <w:sz w:val="21"/>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全面推动智能化建设应用。</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加大科技支撑力度，积极应用数字化、信息化推进平安陆丰建设，推进“民情地图”、“城市睿眼”等工程建设，建设以“大数据”为支撑的“全科网格”，构建全息感应、全域监测的社会防控体系。</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压实中网格长和小网格长、网格管理员责任，</w:t>
      </w:r>
      <w:r>
        <w:rPr>
          <w:rFonts w:hint="eastAsia" w:ascii="仿宋_GB2312" w:eastAsia="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努力</w:t>
      </w:r>
      <w:r>
        <w:rPr>
          <w:rFonts w:hint="eastAsia" w:ascii="仿宋_GB2312" w:eastAsia="仿宋_GB2312"/>
          <w:b w:val="0"/>
          <w:i w:val="0"/>
          <w:caps w:val="0"/>
          <w:color w:val="000000" w:themeColor="text1"/>
          <w:spacing w:val="0"/>
          <w:w w:val="100"/>
          <w:sz w:val="32"/>
          <w:szCs w:val="32"/>
          <w:highlight w:val="none"/>
          <w:u w:val="none" w:color="auto"/>
          <w14:textFill>
            <w14:solidFill>
              <w14:schemeClr w14:val="tx1"/>
            </w14:solidFill>
          </w14:textFill>
        </w:rPr>
        <w:t>做好涉毒、打假、消防安全、反走私、自然资源保护等领域排查管控工作。</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66" w:name="_Toc19372"/>
      <w:bookmarkStart w:id="267" w:name="_Toc4157"/>
      <w:bookmarkStart w:id="268" w:name="_Toc13953"/>
      <w:r>
        <w:rPr>
          <w:rFonts w:hint="eastAsia" w:ascii="黑体" w:hAnsi="黑体" w:eastAsia="黑体" w:cs="仿宋"/>
          <w:color w:val="000000" w:themeColor="text1"/>
          <w:sz w:val="32"/>
          <w:szCs w:val="32"/>
          <w:highlight w:val="none"/>
          <w14:textFill>
            <w14:solidFill>
              <w14:schemeClr w14:val="tx1"/>
            </w14:solidFill>
          </w14:textFill>
        </w:rPr>
        <w:t>第四节 提高应急管理能力</w:t>
      </w:r>
      <w:bookmarkEnd w:id="266"/>
      <w:bookmarkEnd w:id="267"/>
      <w:bookmarkEnd w:id="268"/>
    </w:p>
    <w:p>
      <w:pPr>
        <w:snapToGrid w:val="0"/>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坚持人民至上、生命至上，把保护人民生命安全摆在首位，全面提高应急管理能力。</w:t>
      </w:r>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完善应急管理体制。</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推动建设统一指挥、专常兼备、反应灵敏、上下联动的应急管理体制。形成政府主导、全社会参与、各方齐抓共管、协同配合的突发事件应急管理防治格局；建成属地为主、协同联动、权责清晰、高效处置的应急决策指挥体系，制度保障、应急准备、预防预警、救援处置、恢复重建、社会协同应对等方面能力得到全面提升。防范化解重大安全风险机制不断健全，安全生产形势稳定好转，事故总量持续下降，重特大事故得到有效遏制；自然灾害防治体系健全完善，城乡社区灾害防御能力有效增强，因灾死亡人数和经济损失持续减少；应急救援能力显著提升，结构完善、布局合理、管理规范的应急力量体系全面建成；人民群众风险观念和安全感持续加强，全社会防范和应对灾害事故能力显著提升。</w:t>
      </w:r>
    </w:p>
    <w:p>
      <w:pPr>
        <w:pStyle w:val="59"/>
        <w:snapToGrid/>
        <w:spacing w:before="0" w:beforeAutospacing="0" w:after="0" w:afterAutospacing="0" w:line="600" w:lineRule="exact"/>
        <w:ind w:firstLine="643" w:firstLineChars="200"/>
        <w:jc w:val="both"/>
        <w:textAlignment w:val="baseline"/>
        <w:rPr>
          <w:rFonts w:ascii="仿宋" w:hAnsi="仿宋" w:eastAsia="仿宋" w:cs="仿宋"/>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实施智慧应急信息建设。</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打造集全域感知、动态监测、智能预警、扁平指挥、快速处置、精准监管等于一体的智慧应急体系。加强自然灾害防治能力建设，提升洪涝干旱、森林火灾、地质灾害、地震等自然灾害防御工程标准，加快江河控制性工程建设，加快病险水库除险加固，推进堤防建设，提高防御灾害能力。加强应急物资保障体系建设，推进应急救援保障工程建设，发展巨灾保险，提高防灾、减灾、抗灾、救灾能力。完善重大疫情防控机制，健全公共卫生应急管理体系，提高应对突发公共卫生事件的能力水平，织密公共卫生防护网，充分发挥党员先锋模范作用，协调发挥各方力量统筹推进防疫常态化，创造疫情防控“陆丰样本”。</w:t>
      </w:r>
    </w:p>
    <w:tbl>
      <w:tblPr>
        <w:tblStyle w:val="2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14"/>
              <w:snapToGrid/>
              <w:spacing w:before="0" w:beforeAutospacing="0" w:after="0" w:afterAutospacing="0" w:line="400" w:lineRule="exact"/>
              <w:ind w:left="0" w:leftChars="0"/>
              <w:jc w:val="center"/>
              <w:textAlignment w:val="baseline"/>
              <w:rPr>
                <w:b w:val="0"/>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专栏13-1：应急管理重大工程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pStyle w:val="24"/>
              <w:snapToGrid/>
              <w:spacing w:before="0" w:beforeAutospacing="0" w:after="120" w:afterAutospacing="0" w:line="400" w:lineRule="exact"/>
              <w:ind w:firstLine="560"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1.智慧应急信息化建设工程；2.自然灾害防治能力提升工程；3.陆丰市应急救援保障工程；4.安全生产专项治理工程；5.基层应急管理能力提升工程；6.应急科普实训场馆建设工程。</w:t>
            </w:r>
          </w:p>
        </w:tc>
      </w:tr>
    </w:tbl>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lang w:val="en-US" w:eastAsia="zh-CN"/>
          <w14:textFill>
            <w14:solidFill>
              <w14:schemeClr w14:val="tx1"/>
            </w14:solidFill>
          </w14:textFill>
        </w:rPr>
        <w:t>健全消防安全体系</w:t>
      </w: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加强消防规划修编与实施，结合乡村振兴战略、老旧小区和城中村改造工程、国家自然灾害防治整体建设框架等国家政策实施，推动建制镇及时编修消防专项规划。所有建制镇完成消防规划编制；</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推动在</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国土空间规划中</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进一步</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纳入市和镇同步编制消防专项规划。逐年明确城镇消防救援站、市政消火栓等公共消防设施建设任务、完成时限，确保消防规划内容落地。制定</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我</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市消防水源建设、管理和维修的相关规定，明确建、管、维的主体责任，确保消防水源和城市新建道路同步设计、同步施工、同步交付。加快城镇消防队（站）的建设布点，</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推动所有</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乡镇建立乡镇专职消防队，督促未依法建立专职消防队的大型企业完成建队任务；</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强化</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消防队（站）布局，紧盯“灭早灭小”目标，织密有效联动的村（社区）微型消防站体系，以“快出快处”的要求大力提升微型消防站战斗力，并将村（社区）微型消防站建设经费纳入属地政府财政预算。强化多层级的队站基础保障能力建设，加快推进消防站及配套设施建设工作。按照《城市消防站建设标准》，按规划新建城市消防站，完成10年以上</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val="en-US" w:eastAsia="zh-CN"/>
          <w14:textFill>
            <w14:solidFill>
              <w14:schemeClr w14:val="tx1"/>
            </w14:solidFill>
          </w14:textFill>
        </w:rPr>
        <w:t>老旧</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队站改造。推动城市消防站辖区面积基本达到标准规定，满足接警后5分钟内到达辖区边缘要求。</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69" w:name="_Toc21874"/>
      <w:bookmarkStart w:id="270" w:name="_Toc58320442"/>
      <w:bookmarkStart w:id="271" w:name="_Toc6815"/>
      <w:bookmarkStart w:id="272" w:name="_Toc59331278"/>
      <w:bookmarkStart w:id="273" w:name="_Toc22431"/>
      <w:bookmarkStart w:id="274" w:name="_Toc25727"/>
      <w:r>
        <w:rPr>
          <w:rFonts w:hint="eastAsia" w:ascii="黑体" w:hAnsi="黑体" w:eastAsia="黑体" w:cs="仿宋"/>
          <w:color w:val="000000" w:themeColor="text1"/>
          <w:sz w:val="32"/>
          <w:szCs w:val="32"/>
          <w:highlight w:val="none"/>
          <w14:textFill>
            <w14:solidFill>
              <w14:schemeClr w14:val="tx1"/>
            </w14:solidFill>
          </w14:textFill>
        </w:rPr>
        <w:t xml:space="preserve">第五节 </w:t>
      </w:r>
      <w:bookmarkStart w:id="275" w:name="_Hlk58152077"/>
      <w:r>
        <w:rPr>
          <w:rFonts w:hint="eastAsia" w:ascii="黑体" w:hAnsi="黑体" w:eastAsia="黑体" w:cs="仿宋"/>
          <w:color w:val="000000" w:themeColor="text1"/>
          <w:sz w:val="32"/>
          <w:szCs w:val="32"/>
          <w:highlight w:val="none"/>
          <w14:textFill>
            <w14:solidFill>
              <w14:schemeClr w14:val="tx1"/>
            </w14:solidFill>
          </w14:textFill>
        </w:rPr>
        <w:t>维护社会稳定和安全</w:t>
      </w:r>
      <w:bookmarkEnd w:id="269"/>
      <w:bookmarkEnd w:id="270"/>
      <w:bookmarkEnd w:id="271"/>
      <w:bookmarkEnd w:id="272"/>
      <w:bookmarkEnd w:id="273"/>
      <w:bookmarkEnd w:id="274"/>
      <w:bookmarkEnd w:id="275"/>
    </w:p>
    <w:p>
      <w:pPr>
        <w:snapToGrid w:val="0"/>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强化党建引领，以高质量的党建带动高效能的基层治理，围绕社会治安综合治理的十三个重点工作内容，调整工作思路、创新工作机制、创造新时代陆丰特色“枫桥经验”。打造无抢无盗、无黑无恶、无毒无枪、无假无骗的社会环境，巩固禁毒工作成果，扎实推进全民禁毒与全国禁毒示范城市创建等工作，确保社会大局和谐稳定。</w:t>
      </w:r>
    </w:p>
    <w:p>
      <w:pPr>
        <w:snapToGrid w:val="0"/>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健全社会防控体系。推进社会治安综合治理创新。健全平安陆丰建设保障机制，完善司法管理机制，畅通和规范群众诉求表达、利益协调、权益保障通道，完善信访制度，完善各类调解联动工作体系，坚持专群结合、群防群治，加强社会治安防控体系建设，构建源头防控、排查梳理、纠纷化解、应急处置的社会矛盾综合治理机制。健全社会心理服务体系和危机干预机制。加强治安防控网络和信息化建设，全面推动智能化建设应用，加大科技支撑力度，积极应用数字化、信息化推进平安陆丰建设，建设以“大数据”为支撑的“全科网格”，完善“大数据+网格化+群众路线”运行管理机制，大力推进技防设施升级改造、联网运行和资源共享、综合应用，构建全息感应、全域监测的社会防控体系。</w:t>
      </w:r>
    </w:p>
    <w:p>
      <w:pPr>
        <w:snapToGrid w:val="0"/>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加强专项整治行动。维护社会政治稳定，在“1+13”专项打击整治行动基础上，围绕“无抢无盗、无黑无恶、无毒无枪、无假无骗”，启动新一轮“1+N”专项整治行动“升级版”，持续保持高压打击态势，确保社会大局和谐稳定。</w:t>
      </w:r>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——打造无抢无盗环境。</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加强公安队伍建设，加密巡防，提高见警率，围绕“两抢一盗”高发地段时段、重点部位强化巡逻防控、重拳打击。推进科技强警计划，加大安防、技防投入力度，推进“平安陆丰三期”建设，整合各类视频监控资源，逐步扫除治安监控“盲点”，充分利用智慧新警务，以“人防+物防+技防”，对“两抢一盗”形成高压震慑。</w:t>
      </w:r>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——打造无黑无恶环境。</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坚持“有黑扫黑、无黑除恶、无恶治乱”，冲刺“线索清仓”“逃犯清零”“案件清结”“伞网清除”“黑财清底”“行业清源”工作，加大查处力度，提升办案质效。深入谋划“六建”工作，不断巩固专项斗争成果，推动专项斗争常态化，营造风清气正的社会风气。</w:t>
      </w:r>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——打造无枪环境。</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以“零容忍”的态度打击“涉枪”犯罪，强化案件攻坚，对涉案枪支进行循线溯源，坚决遏制涉枪违法犯罪活动。深化堵源截流，加强网络信息平台巡查，坚决铲除网络涉枪违法犯罪土壤，切断非法枪支流通渠道。</w:t>
      </w:r>
    </w:p>
    <w:p>
      <w:pPr>
        <w:snapToGrid w:val="0"/>
        <w:spacing w:before="0" w:beforeAutospacing="0" w:after="0" w:afterAutospacing="0" w:line="600" w:lineRule="exact"/>
        <w:ind w:firstLine="643" w:firstLineChars="200"/>
        <w:jc w:val="both"/>
        <w:textAlignment w:val="baseline"/>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——打造无假无骗环境。</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强化打假攻坚，全民参与、快侦快破、从重处罚，重拳打击制假售假。把开展“打假”行动与社会信用体系建设、市场监管体系建设紧密结合起来，以打促建、边打边建，从生产、流通、消费等全方位建立市场诚信体系，打造“陆丰无假货”市场品牌。严厉打击涉电信网络诈骗犯罪</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lang w:val="en-US" w:eastAsia="zh-CN"/>
          <w14:textFill>
            <w14:solidFill>
              <w14:schemeClr w14:val="tx1"/>
            </w14:solidFill>
          </w14:textFill>
        </w:rPr>
        <w:t>及</w:t>
      </w:r>
      <w:r>
        <w:rPr>
          <w:rFonts w:hint="eastAsia" w:ascii="仿宋_GB2312" w:hAnsi="仿宋_GB2312" w:eastAsia="仿宋_GB2312" w:cs="仿宋_GB2312"/>
          <w:b w:val="0"/>
          <w:bCs w:val="0"/>
          <w:i w:val="0"/>
          <w:caps w:val="0"/>
          <w:color w:val="000000" w:themeColor="text1"/>
          <w:spacing w:val="0"/>
          <w:w w:val="100"/>
          <w:sz w:val="32"/>
          <w:szCs w:val="32"/>
          <w:highlight w:val="none"/>
          <w:u w:val="none" w:color="auto"/>
          <w14:textFill>
            <w14:solidFill>
              <w14:schemeClr w14:val="tx1"/>
            </w14:solidFill>
          </w14:textFill>
        </w:rPr>
        <w:t>黑灰产业链，充分运用大数据，建立通话、短信、网络可疑通讯侦测模型，以立体化防控网络构建反电诈屏障，切实保障人民群众财产安全。加强互联网管理，普及网络安全知识，加强网络安全教育，强化互联网监管，加大打击利用互联网违法犯罪行为力度，营造绿色网络环境。</w:t>
      </w:r>
    </w:p>
    <w:p>
      <w:pPr>
        <w:pStyle w:val="2"/>
      </w:pPr>
    </w:p>
    <w:tbl>
      <w:tblPr>
        <w:tblStyle w:val="26"/>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Style w:val="10"/>
              <w:snapToGrid/>
              <w:spacing w:before="0" w:beforeAutospacing="0" w:after="120" w:afterAutospacing="0" w:line="400" w:lineRule="exact"/>
              <w:jc w:val="center"/>
              <w:textAlignment w:val="baseline"/>
              <w:rPr>
                <w:b/>
                <w:bCs/>
                <w:i w:val="0"/>
                <w:caps w:val="0"/>
                <w:color w:val="000000" w:themeColor="text1"/>
                <w:spacing w:val="0"/>
                <w:w w:val="100"/>
                <w:sz w:val="30"/>
                <w:szCs w:val="30"/>
                <w:highlight w:val="none"/>
                <w:u w:val="none" w:color="auto"/>
                <w14:textFill>
                  <w14:solidFill>
                    <w14:schemeClr w14:val="tx1"/>
                  </w14:solidFill>
                </w14:textFill>
              </w:rPr>
            </w:pPr>
            <w:r>
              <w:rPr>
                <w:rFonts w:hint="eastAsia" w:ascii="方正小标宋简体" w:hAnsi="黑体" w:eastAsia="方正小标宋简体" w:cstheme="minorBidi"/>
                <w:color w:val="000000" w:themeColor="text1"/>
                <w:kern w:val="2"/>
                <w:sz w:val="30"/>
                <w:szCs w:val="30"/>
                <w:highlight w:val="none"/>
                <w:lang w:val="en-US" w:eastAsia="zh-CN" w:bidi="ar-SA"/>
                <w14:textFill>
                  <w14:solidFill>
                    <w14:schemeClr w14:val="tx1"/>
                  </w14:solidFill>
                </w14:textFill>
              </w:rPr>
              <w:t>专栏13-2 “13”专项打击整治行动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pStyle w:val="10"/>
              <w:snapToGrid/>
              <w:spacing w:before="0" w:beforeAutospacing="0" w:after="120" w:afterAutospacing="0" w:line="400" w:lineRule="exact"/>
              <w:ind w:firstLine="560" w:firstLineChars="200"/>
              <w:jc w:val="both"/>
              <w:textAlignment w:val="baseline"/>
              <w:rPr>
                <w:b w:val="0"/>
                <w:i w:val="0"/>
                <w:caps w:val="0"/>
                <w:color w:val="000000" w:themeColor="text1"/>
                <w:spacing w:val="0"/>
                <w:w w:val="100"/>
                <w:sz w:val="28"/>
                <w:szCs w:val="28"/>
                <w:highlight w:val="none"/>
                <w:u w:val="none" w:color="auto"/>
                <w14:textFill>
                  <w14:solidFill>
                    <w14:schemeClr w14:val="tx1"/>
                  </w14:solidFill>
                </w14:textFill>
              </w:rPr>
            </w:pP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1.打击非法加油点专项整治行动；2.打击电信网络新型违法犯罪专项行动；3.打击整治“洋垃圾”专项行动；4.打击网络侵权盗版“剑网2020”专项行动；5.打击盗采河砂海砂专项行动；6.打击制假售</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lang w:eastAsia="zh-CN"/>
                <w14:textFill>
                  <w14:solidFill>
                    <w14:schemeClr w14:val="tx1"/>
                  </w14:solidFill>
                </w14:textFill>
              </w:rPr>
              <w:t>假</w:t>
            </w:r>
            <w:r>
              <w:rPr>
                <w:rFonts w:hint="eastAsia" w:asciiTheme="minorEastAsia" w:hAnsiTheme="minorEastAsia" w:eastAsiaTheme="minorEastAsia" w:cstheme="minorEastAsia"/>
                <w:b w:val="0"/>
                <w:i w:val="0"/>
                <w:caps w:val="0"/>
                <w:color w:val="000000" w:themeColor="text1"/>
                <w:spacing w:val="0"/>
                <w:w w:val="100"/>
                <w:sz w:val="28"/>
                <w:szCs w:val="28"/>
                <w:highlight w:val="none"/>
                <w:u w:val="none" w:color="auto"/>
                <w14:textFill>
                  <w14:solidFill>
                    <w14:schemeClr w14:val="tx1"/>
                  </w14:solidFill>
                </w14:textFill>
              </w:rPr>
              <w:t>专项行动；7.道路交通安全专项整治行动；8.“一打一拆三整治”专项行动；9.打击涉毒专项行动；10.打击涉枪专项行动；11打击涉盗抢专项行动；12.打击涉食药假犯罪专项行动；13.打击涉黑恶专项行动。</w:t>
            </w:r>
          </w:p>
        </w:tc>
      </w:tr>
    </w:tbl>
    <w:p>
      <w:pPr>
        <w:snapToGrid w:val="0"/>
        <w:spacing w:before="0" w:beforeAutospacing="0" w:after="0" w:afterAutospacing="0" w:line="580" w:lineRule="exact"/>
        <w:ind w:firstLine="643"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bCs/>
          <w:i w:val="0"/>
          <w:caps w:val="0"/>
          <w:color w:val="000000" w:themeColor="text1"/>
          <w:spacing w:val="0"/>
          <w:w w:val="100"/>
          <w:sz w:val="32"/>
          <w:szCs w:val="32"/>
          <w:highlight w:val="none"/>
          <w:u w:val="none" w:color="auto"/>
          <w14:textFill>
            <w14:solidFill>
              <w14:schemeClr w14:val="tx1"/>
            </w14:solidFill>
          </w14:textFill>
        </w:rPr>
        <w:t>着力巩固禁毒成果，加快创建禁毒示范城市。</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围绕打造“无毒陆丰”，突出重点、精准施策，扎实推进全国禁毒示范城市创建。要坚持以打开路，始终保持高压严打态势，严打毒品制造环节，破除毒品销售网络，打击管控毒品消费市场，通过全域全要素管控和全链条打击，全面挤压毒品犯罪空间，严防毒品问题反弹。要坚持打防并举，健全落实“大数据+网格化+主动监测+群众路线”工作机制，加快形成横向到边、纵向到底、海陆统筹、责任明确、监管到位的禁毒管理网络。要坚持综合治理，推动禁毒工作与基层党建、基层治理相结合，与乡村振兴、富民增收相结合，与加快产业培育、实现高质量发展相结合，彻底根治毒品问题。着力打造“无毒村（社区）”“无毒镇（街道）”“无毒县（市、区）”。成立禁毒工作者队伍，</w:t>
      </w:r>
      <w:r>
        <w:rPr>
          <w:rFonts w:hint="eastAsia" w:ascii="仿宋_GB2312" w:hAnsi="仿宋_GB2312" w:eastAsia="仿宋_GB2312" w:cs="仿宋_GB2312"/>
          <w:b w:val="0"/>
          <w:i w:val="0"/>
          <w:caps w:val="0"/>
          <w:color w:val="000000" w:themeColor="text1"/>
          <w:spacing w:val="0"/>
          <w:w w:val="100"/>
          <w:sz w:val="32"/>
          <w:szCs w:val="32"/>
          <w:highlight w:val="none"/>
          <w:u w:val="none" w:color="auto"/>
          <w:lang w:eastAsia="zh-CN"/>
          <w14:textFill>
            <w14:solidFill>
              <w14:schemeClr w14:val="tx1"/>
            </w14:solidFill>
          </w14:textFill>
        </w:rPr>
        <w:t>网布</w:t>
      </w: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城乡各地，紧盯“14类对象”和5类场所，加强重点城镇和社区巡查工作，及时巡逻防控和清查可疑重点场所、商店、物流点和废弃房屋，加强毒品防控知识宣传。进一步营造全民参与禁毒浓厚宣传氛围，筑牢禁毒防火墙。在甲子镇、甲东镇、甲西镇的重点社区，发挥驻村干部，驻村工作组和村两委干部、网格管理员的带头作用，组织实施禁毒网格化防疫防控管理。巩固“强、紧、严、齐”陆丰禁毒模式成果，以创建禁毒示范城市为新的目标，巩固禁毒整治成果，全面推进全民禁毒工程。</w:t>
      </w:r>
    </w:p>
    <w:p>
      <w:pPr>
        <w:adjustRightInd w:val="0"/>
        <w:snapToGrid w:val="0"/>
        <w:spacing w:line="200" w:lineRule="exact"/>
        <w:jc w:val="center"/>
        <w:outlineLvl w:val="0"/>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pPr>
      <w:bookmarkStart w:id="276" w:name="_Toc19580"/>
      <w:bookmarkStart w:id="277" w:name="_Toc18047"/>
      <w:bookmarkStart w:id="278" w:name="_Toc30658"/>
    </w:p>
    <w:p>
      <w:pPr>
        <w:adjustRightInd w:val="0"/>
        <w:snapToGrid w:val="0"/>
        <w:spacing w:line="620" w:lineRule="exact"/>
        <w:jc w:val="center"/>
        <w:outlineLvl w:val="0"/>
        <w:rPr>
          <w:rFonts w:hint="eastAsia" w:ascii="方正小标宋简体" w:eastAsia="方正小标宋简体" w:cs="仿宋" w:hAnsiTheme="minorEastAsia"/>
          <w:color w:val="000000" w:themeColor="text1"/>
          <w:spacing w:val="-12"/>
          <w:sz w:val="32"/>
          <w:szCs w:val="32"/>
          <w:highlight w:val="none"/>
          <w:lang w:val="en-US" w:eastAsia="zh-CN"/>
          <w14:textFill>
            <w14:solidFill>
              <w14:schemeClr w14:val="tx1"/>
            </w14:solidFill>
          </w14:textFill>
        </w:rPr>
      </w:pPr>
      <w:bookmarkStart w:id="279" w:name="_Toc18551"/>
      <w:r>
        <w:rPr>
          <w:rFonts w:hint="eastAsia" w:ascii="方正小标宋简体" w:eastAsia="方正小标宋简体" w:cs="仿宋" w:hAnsiTheme="minorEastAsia"/>
          <w:color w:val="000000" w:themeColor="text1"/>
          <w:spacing w:val="-12"/>
          <w:sz w:val="32"/>
          <w:szCs w:val="32"/>
          <w:highlight w:val="none"/>
          <w14:textFill>
            <w14:solidFill>
              <w14:schemeClr w14:val="tx1"/>
            </w14:solidFill>
          </w14:textFill>
        </w:rPr>
        <w:t xml:space="preserve">第十四章 </w:t>
      </w:r>
      <w:r>
        <w:rPr>
          <w:rFonts w:hint="eastAsia" w:ascii="方正小标宋简体" w:eastAsia="方正小标宋简体" w:cs="仿宋" w:hAnsiTheme="minorEastAsia"/>
          <w:color w:val="000000" w:themeColor="text1"/>
          <w:spacing w:val="-12"/>
          <w:sz w:val="32"/>
          <w:szCs w:val="32"/>
          <w:highlight w:val="none"/>
          <w:lang w:val="en-US" w:eastAsia="zh-CN"/>
          <w14:textFill>
            <w14:solidFill>
              <w14:schemeClr w14:val="tx1"/>
            </w14:solidFill>
          </w14:textFill>
        </w:rPr>
        <w:t>完善规划</w:t>
      </w:r>
      <w:r>
        <w:rPr>
          <w:rFonts w:hint="eastAsia" w:ascii="方正小标宋简体" w:eastAsia="方正小标宋简体" w:cs="仿宋" w:hAnsiTheme="minorEastAsia"/>
          <w:color w:val="000000" w:themeColor="text1"/>
          <w:spacing w:val="-12"/>
          <w:sz w:val="32"/>
          <w:szCs w:val="32"/>
          <w:highlight w:val="none"/>
          <w:lang w:val="zh-CN"/>
          <w14:textFill>
            <w14:solidFill>
              <w14:schemeClr w14:val="tx1"/>
            </w14:solidFill>
          </w14:textFill>
        </w:rPr>
        <w:t>实施保障</w:t>
      </w:r>
      <w:bookmarkEnd w:id="276"/>
      <w:bookmarkEnd w:id="277"/>
      <w:bookmarkEnd w:id="278"/>
      <w:r>
        <w:rPr>
          <w:rFonts w:hint="eastAsia" w:ascii="方正小标宋简体" w:eastAsia="方正小标宋简体" w:cs="仿宋" w:hAnsiTheme="minorEastAsia"/>
          <w:color w:val="000000" w:themeColor="text1"/>
          <w:spacing w:val="-12"/>
          <w:sz w:val="32"/>
          <w:szCs w:val="32"/>
          <w:highlight w:val="none"/>
          <w:lang w:val="en-US" w:eastAsia="zh-CN"/>
          <w14:textFill>
            <w14:solidFill>
              <w14:schemeClr w14:val="tx1"/>
            </w14:solidFill>
          </w14:textFill>
        </w:rPr>
        <w:t>机制</w:t>
      </w:r>
      <w:bookmarkEnd w:id="279"/>
    </w:p>
    <w:p>
      <w:pPr>
        <w:adjustRightInd w:val="0"/>
        <w:snapToGrid w:val="0"/>
        <w:spacing w:line="59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80" w:name="_Toc30503"/>
      <w:bookmarkStart w:id="281" w:name="_Toc7367"/>
      <w:bookmarkStart w:id="282" w:name="_Toc8678"/>
      <w:bookmarkStart w:id="283" w:name="_Toc1445"/>
      <w:bookmarkStart w:id="284" w:name="_Toc14072"/>
      <w:r>
        <w:rPr>
          <w:rFonts w:hint="eastAsia" w:ascii="黑体" w:hAnsi="黑体" w:eastAsia="黑体" w:cs="仿宋"/>
          <w:color w:val="000000" w:themeColor="text1"/>
          <w:sz w:val="32"/>
          <w:szCs w:val="32"/>
          <w:highlight w:val="none"/>
          <w14:textFill>
            <w14:solidFill>
              <w14:schemeClr w14:val="tx1"/>
            </w14:solidFill>
          </w14:textFill>
        </w:rPr>
        <w:t>第一节 加强组织领导</w:t>
      </w:r>
      <w:bookmarkEnd w:id="280"/>
      <w:bookmarkEnd w:id="281"/>
      <w:bookmarkEnd w:id="282"/>
      <w:bookmarkEnd w:id="283"/>
      <w:bookmarkEnd w:id="284"/>
    </w:p>
    <w:p>
      <w:pPr>
        <w:widowControl/>
        <w:shd w:val="clear" w:color="auto" w:fill="FFFFFF"/>
        <w:snapToGrid/>
        <w:spacing w:before="0" w:beforeAutospacing="0" w:after="0" w:afterAutospacing="0" w:line="59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紧紧围绕全市各级党委（党组）的坚强领导核心，加强对规划编制实施的组织领导。建立部门联席会议制度，加强多级联动、部门协同，形成强大合力，推动规划各项重点任务和重大项目的实施。创新完善规划实施机制，组织引导市场主体参与规划实施，通过完善市场机制和利益导向机制，依靠市场主体的自主行为推动规划目标任务落实。</w:t>
      </w:r>
    </w:p>
    <w:p>
      <w:pPr>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85" w:name="_Toc441232731"/>
      <w:bookmarkEnd w:id="285"/>
      <w:bookmarkStart w:id="286" w:name="_Toc21270"/>
      <w:bookmarkStart w:id="287" w:name="_Toc14095"/>
      <w:bookmarkStart w:id="288" w:name="_Toc21239"/>
      <w:bookmarkStart w:id="289" w:name="_Toc2930"/>
      <w:bookmarkStart w:id="290" w:name="_Toc28646"/>
      <w:r>
        <w:rPr>
          <w:rFonts w:hint="eastAsia" w:ascii="黑体" w:hAnsi="黑体" w:eastAsia="黑体" w:cs="仿宋"/>
          <w:color w:val="000000" w:themeColor="text1"/>
          <w:sz w:val="32"/>
          <w:szCs w:val="32"/>
          <w:highlight w:val="none"/>
          <w14:textFill>
            <w14:solidFill>
              <w14:schemeClr w14:val="tx1"/>
            </w14:solidFill>
          </w14:textFill>
        </w:rPr>
        <w:t>第二节 加强规划衔接</w:t>
      </w:r>
      <w:bookmarkEnd w:id="286"/>
      <w:bookmarkEnd w:id="287"/>
      <w:bookmarkEnd w:id="288"/>
      <w:bookmarkEnd w:id="289"/>
      <w:bookmarkEnd w:id="290"/>
    </w:p>
    <w:p>
      <w:pPr>
        <w:widowControl/>
        <w:shd w:val="clear" w:color="auto" w:fill="FFFFFF"/>
        <w:snapToGrid/>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突出国民经济和社会发展总体规划的纲领性地位，专项规划和区域规划要切实贯彻本规划的战略意图和主要任务，做好各项指标的衔接，确保总体要求上指向一致、空间配置上相互协调、时序安排上科学有序。制定规划年度实施方案，加强年度实施方案与年度计划的衔接与协调，分解规划目标任务到各镇（街道）和相关部门，明确责任主体，细化任务分工，逐年逐项按计划落实。</w:t>
      </w:r>
    </w:p>
    <w:p>
      <w:pPr>
        <w:keepNext w:val="0"/>
        <w:keepLines w:val="0"/>
        <w:pageBreakBefore w:val="0"/>
        <w:widowControl w:val="0"/>
        <w:kinsoku/>
        <w:wordWrap/>
        <w:overflowPunct/>
        <w:topLinePunct w:val="0"/>
        <w:autoSpaceDE/>
        <w:autoSpaceDN/>
        <w:bidi w:val="0"/>
        <w:adjustRightInd w:val="0"/>
        <w:snapToGrid w:val="0"/>
        <w:spacing w:line="720" w:lineRule="exact"/>
        <w:jc w:val="center"/>
        <w:textAlignment w:val="auto"/>
        <w:outlineLvl w:val="1"/>
        <w:rPr>
          <w:rFonts w:hint="eastAsia" w:ascii="黑体" w:hAnsi="黑体" w:eastAsia="黑体" w:cs="仿宋"/>
          <w:color w:val="000000" w:themeColor="text1"/>
          <w:sz w:val="32"/>
          <w:szCs w:val="32"/>
          <w:highlight w:val="none"/>
          <w14:textFill>
            <w14:solidFill>
              <w14:schemeClr w14:val="tx1"/>
            </w14:solidFill>
          </w14:textFill>
        </w:rPr>
      </w:pPr>
      <w:bookmarkStart w:id="291" w:name="_Toc441232732"/>
      <w:bookmarkEnd w:id="291"/>
      <w:bookmarkStart w:id="292" w:name="_Toc3268"/>
      <w:bookmarkStart w:id="293" w:name="_Toc21441"/>
      <w:bookmarkStart w:id="294" w:name="_Toc29740"/>
      <w:bookmarkStart w:id="295" w:name="_Toc7453"/>
      <w:bookmarkStart w:id="296" w:name="_Toc19690"/>
      <w:r>
        <w:rPr>
          <w:rFonts w:hint="eastAsia" w:ascii="黑体" w:hAnsi="黑体" w:eastAsia="黑体" w:cs="仿宋"/>
          <w:color w:val="000000" w:themeColor="text1"/>
          <w:sz w:val="32"/>
          <w:szCs w:val="32"/>
          <w:highlight w:val="none"/>
          <w14:textFill>
            <w14:solidFill>
              <w14:schemeClr w14:val="tx1"/>
            </w14:solidFill>
          </w14:textFill>
        </w:rPr>
        <w:t>第三节 加强实施保障</w:t>
      </w:r>
      <w:bookmarkEnd w:id="292"/>
      <w:bookmarkEnd w:id="293"/>
      <w:bookmarkEnd w:id="294"/>
      <w:bookmarkEnd w:id="295"/>
      <w:bookmarkEnd w:id="296"/>
    </w:p>
    <w:p>
      <w:pPr>
        <w:keepNext w:val="0"/>
        <w:keepLines w:val="0"/>
        <w:pageBreakBefore w:val="0"/>
        <w:widowControl w:val="0"/>
        <w:shd w:val="clear" w:color="auto" w:fill="FFFFFF"/>
        <w:kinsoku/>
        <w:wordWrap/>
        <w:overflowPunct/>
        <w:topLinePunct w:val="0"/>
        <w:autoSpaceDE/>
        <w:autoSpaceDN/>
        <w:bidi w:val="0"/>
        <w:snapToGrid/>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以平台载体为支撑，以要素资源为保障，推动规划实施落地。建设一批创新发展基地等重大发展平台，集聚项目资源，健全重点项目储备库，完善项目协调推进机制，着力推进一批重大项目建设，为规划有效落实提供有力支撑。优化财政支出结构和政府投资结构，科学调控土地供应，加强资金、土地、人力资源等要素对规划实施的保障作用，优先满足政府投资重大项目对资金、土地等要素的需求。</w:t>
      </w:r>
    </w:p>
    <w:p>
      <w:pPr>
        <w:keepNext w:val="0"/>
        <w:keepLines w:val="0"/>
        <w:pageBreakBefore w:val="0"/>
        <w:widowControl w:val="0"/>
        <w:kinsoku/>
        <w:wordWrap/>
        <w:overflowPunct/>
        <w:topLinePunct w:val="0"/>
        <w:autoSpaceDE/>
        <w:autoSpaceDN/>
        <w:bidi w:val="0"/>
        <w:adjustRightInd w:val="0"/>
        <w:snapToGrid w:val="0"/>
        <w:spacing w:line="800" w:lineRule="exact"/>
        <w:jc w:val="center"/>
        <w:outlineLvl w:val="1"/>
        <w:rPr>
          <w:rFonts w:hint="eastAsia" w:ascii="黑体" w:hAnsi="黑体" w:eastAsia="黑体" w:cs="仿宋"/>
          <w:color w:val="000000" w:themeColor="text1"/>
          <w:sz w:val="32"/>
          <w:szCs w:val="32"/>
          <w:highlight w:val="none"/>
          <w14:textFill>
            <w14:solidFill>
              <w14:schemeClr w14:val="tx1"/>
            </w14:solidFill>
          </w14:textFill>
        </w:rPr>
      </w:pPr>
      <w:bookmarkStart w:id="297" w:name="_Toc23299"/>
      <w:bookmarkStart w:id="298" w:name="_Toc6697"/>
      <w:bookmarkStart w:id="299" w:name="_Toc19661"/>
      <w:bookmarkStart w:id="300" w:name="_Toc12026"/>
      <w:bookmarkStart w:id="301" w:name="_Toc8847"/>
      <w:r>
        <w:rPr>
          <w:rFonts w:hint="eastAsia" w:ascii="黑体" w:hAnsi="黑体" w:eastAsia="黑体" w:cs="仿宋"/>
          <w:color w:val="000000" w:themeColor="text1"/>
          <w:sz w:val="32"/>
          <w:szCs w:val="32"/>
          <w:highlight w:val="none"/>
          <w14:textFill>
            <w14:solidFill>
              <w14:schemeClr w14:val="tx1"/>
            </w14:solidFill>
          </w14:textFill>
        </w:rPr>
        <w:t>第四节 加强监督考评</w:t>
      </w:r>
      <w:bookmarkEnd w:id="297"/>
      <w:bookmarkEnd w:id="298"/>
      <w:bookmarkEnd w:id="299"/>
      <w:bookmarkEnd w:id="300"/>
      <w:bookmarkEnd w:id="301"/>
      <w:r>
        <w:rPr>
          <w:rFonts w:hint="eastAsia" w:ascii="黑体" w:hAnsi="黑体" w:eastAsia="黑体" w:cs="仿宋"/>
          <w:color w:val="000000" w:themeColor="text1"/>
          <w:sz w:val="32"/>
          <w:szCs w:val="32"/>
          <w:highlight w:val="none"/>
          <w14:textFill>
            <w14:solidFill>
              <w14:schemeClr w14:val="tx1"/>
            </w14:solidFill>
          </w14:textFill>
        </w:rPr>
        <w:t xml:space="preserve"> </w:t>
      </w:r>
    </w:p>
    <w:p>
      <w:pPr>
        <w:keepNext w:val="0"/>
        <w:keepLines w:val="0"/>
        <w:pageBreakBefore w:val="0"/>
        <w:widowControl w:val="0"/>
        <w:shd w:val="clear" w:color="auto" w:fill="FFFFFF"/>
        <w:kinsoku/>
        <w:wordWrap/>
        <w:overflowPunct/>
        <w:topLinePunct w:val="0"/>
        <w:autoSpaceDE/>
        <w:autoSpaceDN/>
        <w:bidi w:val="0"/>
        <w:snapToGrid/>
        <w:spacing w:before="0" w:beforeAutospacing="0" w:after="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themeColor="text1"/>
          <w:spacing w:val="0"/>
          <w:w w:val="100"/>
          <w:sz w:val="32"/>
          <w:szCs w:val="32"/>
          <w:highlight w:val="none"/>
          <w:u w:val="none" w:color="auto"/>
          <w:lang w:val="zh-CN"/>
          <w14:textFill>
            <w14:solidFill>
              <w14:schemeClr w14:val="tx1"/>
            </w14:solidFill>
          </w14:textFill>
        </w:rPr>
      </w:pPr>
      <w:bookmarkStart w:id="302" w:name="_Toc441232733"/>
      <w:bookmarkEnd w:id="302"/>
      <w:r>
        <w:rPr>
          <w:rFonts w:hint="eastAsia" w:ascii="仿宋_GB2312" w:hAnsi="仿宋_GB2312" w:eastAsia="仿宋_GB2312" w:cs="仿宋_GB2312"/>
          <w:b w:val="0"/>
          <w:i w:val="0"/>
          <w:caps w:val="0"/>
          <w:color w:val="000000" w:themeColor="text1"/>
          <w:spacing w:val="0"/>
          <w:w w:val="100"/>
          <w:sz w:val="32"/>
          <w:szCs w:val="32"/>
          <w:highlight w:val="none"/>
          <w:u w:val="none" w:color="auto"/>
          <w14:textFill>
            <w14:solidFill>
              <w14:schemeClr w14:val="tx1"/>
            </w14:solidFill>
          </w14:textFill>
        </w:rPr>
        <w:t>建立规划实施考核制度，把规划确定的目标任务纳入绩效考核内容，将责任落实到人。完善规划中期评估制度，分析实施效果，及时查找问题、解决问题，并据此适度调整规划目标和任务。加强宣传监督，落实信息公开制度，及时公开规划实施情况，主动接受社会监督，进一步凝聚社会共识，激发发展热情。</w:t>
      </w: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Lucida Sans">
    <w:panose1 w:val="020B0602030504020204"/>
    <w:charset w:val="01"/>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I</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I</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12606"/>
      <w:docPartObj>
        <w:docPartGallery w:val="autotext"/>
      </w:docPartObj>
    </w:sdtPr>
    <w:sdtContent>
      <w:p>
        <w:pPr>
          <w:pStyle w:val="19"/>
          <w:jc w:val="center"/>
        </w:pPr>
      </w:p>
    </w:sdtContent>
  </w:sdt>
  <w:p>
    <w:pPr>
      <w:pStyle w:val="1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0YTk2MWFhNjQzZmRlYTdhM2NhYWViZmJhN2QyOTgifQ=="/>
  </w:docVars>
  <w:rsids>
    <w:rsidRoot w:val="0040107A"/>
    <w:rsid w:val="00046AAB"/>
    <w:rsid w:val="00055C80"/>
    <w:rsid w:val="000629E3"/>
    <w:rsid w:val="00064984"/>
    <w:rsid w:val="00064CD5"/>
    <w:rsid w:val="00075936"/>
    <w:rsid w:val="000809BE"/>
    <w:rsid w:val="000908B0"/>
    <w:rsid w:val="00090D10"/>
    <w:rsid w:val="00095A68"/>
    <w:rsid w:val="000A1A93"/>
    <w:rsid w:val="000B40A6"/>
    <w:rsid w:val="000B4DEB"/>
    <w:rsid w:val="000B5300"/>
    <w:rsid w:val="000D4190"/>
    <w:rsid w:val="000E7207"/>
    <w:rsid w:val="001036B6"/>
    <w:rsid w:val="0012265D"/>
    <w:rsid w:val="00136E0C"/>
    <w:rsid w:val="00142B97"/>
    <w:rsid w:val="0016553D"/>
    <w:rsid w:val="00175D62"/>
    <w:rsid w:val="00187151"/>
    <w:rsid w:val="0019410E"/>
    <w:rsid w:val="001A1287"/>
    <w:rsid w:val="001B5211"/>
    <w:rsid w:val="001C077C"/>
    <w:rsid w:val="001D32B2"/>
    <w:rsid w:val="001D7A2E"/>
    <w:rsid w:val="001E0B60"/>
    <w:rsid w:val="001E64B3"/>
    <w:rsid w:val="001F05D3"/>
    <w:rsid w:val="001F2E8C"/>
    <w:rsid w:val="00204D04"/>
    <w:rsid w:val="00214C5D"/>
    <w:rsid w:val="00220AB5"/>
    <w:rsid w:val="00220CDE"/>
    <w:rsid w:val="00223B1C"/>
    <w:rsid w:val="002353B1"/>
    <w:rsid w:val="00240E88"/>
    <w:rsid w:val="00241410"/>
    <w:rsid w:val="00251E98"/>
    <w:rsid w:val="0025436F"/>
    <w:rsid w:val="00263783"/>
    <w:rsid w:val="00276E42"/>
    <w:rsid w:val="00286354"/>
    <w:rsid w:val="00287856"/>
    <w:rsid w:val="00295109"/>
    <w:rsid w:val="002A4CA0"/>
    <w:rsid w:val="002C0222"/>
    <w:rsid w:val="002C26F6"/>
    <w:rsid w:val="002C33A0"/>
    <w:rsid w:val="002C5E32"/>
    <w:rsid w:val="002D0981"/>
    <w:rsid w:val="002D4DCD"/>
    <w:rsid w:val="002E748C"/>
    <w:rsid w:val="002E74E1"/>
    <w:rsid w:val="002E754B"/>
    <w:rsid w:val="002F1270"/>
    <w:rsid w:val="002F6FF6"/>
    <w:rsid w:val="00301B1D"/>
    <w:rsid w:val="00312993"/>
    <w:rsid w:val="00321718"/>
    <w:rsid w:val="00322A6C"/>
    <w:rsid w:val="00322AF3"/>
    <w:rsid w:val="003364DC"/>
    <w:rsid w:val="00337B9B"/>
    <w:rsid w:val="00357729"/>
    <w:rsid w:val="00366386"/>
    <w:rsid w:val="0038508C"/>
    <w:rsid w:val="00392537"/>
    <w:rsid w:val="003945D9"/>
    <w:rsid w:val="003A2FB2"/>
    <w:rsid w:val="003A5D5F"/>
    <w:rsid w:val="003B15F1"/>
    <w:rsid w:val="003B3E27"/>
    <w:rsid w:val="003B5CEF"/>
    <w:rsid w:val="003C3736"/>
    <w:rsid w:val="003C719C"/>
    <w:rsid w:val="003D44BB"/>
    <w:rsid w:val="003D4948"/>
    <w:rsid w:val="003E2E84"/>
    <w:rsid w:val="003F269F"/>
    <w:rsid w:val="0040107A"/>
    <w:rsid w:val="0045518F"/>
    <w:rsid w:val="00463A33"/>
    <w:rsid w:val="00474273"/>
    <w:rsid w:val="00474EF4"/>
    <w:rsid w:val="00482CC3"/>
    <w:rsid w:val="0049265D"/>
    <w:rsid w:val="004A1983"/>
    <w:rsid w:val="004A2FAF"/>
    <w:rsid w:val="004C21D3"/>
    <w:rsid w:val="004D457B"/>
    <w:rsid w:val="004E4772"/>
    <w:rsid w:val="004F420A"/>
    <w:rsid w:val="005019DA"/>
    <w:rsid w:val="00515767"/>
    <w:rsid w:val="0051632C"/>
    <w:rsid w:val="00516CF1"/>
    <w:rsid w:val="00521D67"/>
    <w:rsid w:val="00540D02"/>
    <w:rsid w:val="005463A9"/>
    <w:rsid w:val="00547267"/>
    <w:rsid w:val="00550C6F"/>
    <w:rsid w:val="00557CD0"/>
    <w:rsid w:val="00561415"/>
    <w:rsid w:val="00563B1C"/>
    <w:rsid w:val="00565858"/>
    <w:rsid w:val="00572D51"/>
    <w:rsid w:val="005A110E"/>
    <w:rsid w:val="005A1DE1"/>
    <w:rsid w:val="005B346A"/>
    <w:rsid w:val="005B4BE0"/>
    <w:rsid w:val="005C4BFF"/>
    <w:rsid w:val="005C7E8E"/>
    <w:rsid w:val="005D5D1D"/>
    <w:rsid w:val="005E03B5"/>
    <w:rsid w:val="005E0BD4"/>
    <w:rsid w:val="005F5598"/>
    <w:rsid w:val="006017B1"/>
    <w:rsid w:val="00623A6C"/>
    <w:rsid w:val="00623DE7"/>
    <w:rsid w:val="00627724"/>
    <w:rsid w:val="0067771A"/>
    <w:rsid w:val="00681FD2"/>
    <w:rsid w:val="006821DA"/>
    <w:rsid w:val="00685978"/>
    <w:rsid w:val="00686104"/>
    <w:rsid w:val="00686E64"/>
    <w:rsid w:val="006A5266"/>
    <w:rsid w:val="006B318E"/>
    <w:rsid w:val="006C012B"/>
    <w:rsid w:val="006D3722"/>
    <w:rsid w:val="00702F0E"/>
    <w:rsid w:val="007257B8"/>
    <w:rsid w:val="00737614"/>
    <w:rsid w:val="00741B52"/>
    <w:rsid w:val="00741E3A"/>
    <w:rsid w:val="00743159"/>
    <w:rsid w:val="00767571"/>
    <w:rsid w:val="007772EC"/>
    <w:rsid w:val="0078706E"/>
    <w:rsid w:val="007877EE"/>
    <w:rsid w:val="007958A8"/>
    <w:rsid w:val="007A4526"/>
    <w:rsid w:val="007A6DC8"/>
    <w:rsid w:val="007A7965"/>
    <w:rsid w:val="007C2E6E"/>
    <w:rsid w:val="007D0F10"/>
    <w:rsid w:val="00800762"/>
    <w:rsid w:val="00804CC5"/>
    <w:rsid w:val="0081386D"/>
    <w:rsid w:val="00823793"/>
    <w:rsid w:val="00832986"/>
    <w:rsid w:val="00842C73"/>
    <w:rsid w:val="0085114A"/>
    <w:rsid w:val="00853C37"/>
    <w:rsid w:val="0086130D"/>
    <w:rsid w:val="0086356F"/>
    <w:rsid w:val="0087385F"/>
    <w:rsid w:val="00882CC3"/>
    <w:rsid w:val="0089355D"/>
    <w:rsid w:val="008B66F6"/>
    <w:rsid w:val="008B7214"/>
    <w:rsid w:val="008C6EAA"/>
    <w:rsid w:val="008D64BB"/>
    <w:rsid w:val="008D7693"/>
    <w:rsid w:val="008E1B4E"/>
    <w:rsid w:val="008E5111"/>
    <w:rsid w:val="008F75A1"/>
    <w:rsid w:val="008F768C"/>
    <w:rsid w:val="00904BD1"/>
    <w:rsid w:val="00906B97"/>
    <w:rsid w:val="00933D9E"/>
    <w:rsid w:val="009342DE"/>
    <w:rsid w:val="00935091"/>
    <w:rsid w:val="00956FCE"/>
    <w:rsid w:val="00967922"/>
    <w:rsid w:val="00983492"/>
    <w:rsid w:val="009871F8"/>
    <w:rsid w:val="009A2BC7"/>
    <w:rsid w:val="009A406E"/>
    <w:rsid w:val="009A5B3A"/>
    <w:rsid w:val="009B68C9"/>
    <w:rsid w:val="009C2FF4"/>
    <w:rsid w:val="009E0E9D"/>
    <w:rsid w:val="009E3BD1"/>
    <w:rsid w:val="009F5983"/>
    <w:rsid w:val="009F7302"/>
    <w:rsid w:val="00A26AFB"/>
    <w:rsid w:val="00A3476E"/>
    <w:rsid w:val="00A410CB"/>
    <w:rsid w:val="00A45618"/>
    <w:rsid w:val="00A46474"/>
    <w:rsid w:val="00A556EC"/>
    <w:rsid w:val="00A557F6"/>
    <w:rsid w:val="00A64850"/>
    <w:rsid w:val="00A66BA9"/>
    <w:rsid w:val="00AA5AE3"/>
    <w:rsid w:val="00AC301D"/>
    <w:rsid w:val="00AC62D8"/>
    <w:rsid w:val="00AC7898"/>
    <w:rsid w:val="00AF259D"/>
    <w:rsid w:val="00AF6193"/>
    <w:rsid w:val="00B00BF4"/>
    <w:rsid w:val="00B0541E"/>
    <w:rsid w:val="00B111FF"/>
    <w:rsid w:val="00B13555"/>
    <w:rsid w:val="00B3156C"/>
    <w:rsid w:val="00B329FF"/>
    <w:rsid w:val="00B34E8F"/>
    <w:rsid w:val="00B35F9B"/>
    <w:rsid w:val="00B40C3E"/>
    <w:rsid w:val="00B453C7"/>
    <w:rsid w:val="00B47BE1"/>
    <w:rsid w:val="00B52AC6"/>
    <w:rsid w:val="00B62AD1"/>
    <w:rsid w:val="00B63D94"/>
    <w:rsid w:val="00B663ED"/>
    <w:rsid w:val="00B74AF0"/>
    <w:rsid w:val="00B84834"/>
    <w:rsid w:val="00B86035"/>
    <w:rsid w:val="00B86BC0"/>
    <w:rsid w:val="00B91F1F"/>
    <w:rsid w:val="00B92E34"/>
    <w:rsid w:val="00BA6FF7"/>
    <w:rsid w:val="00BC5FA2"/>
    <w:rsid w:val="00BC7D79"/>
    <w:rsid w:val="00BE4804"/>
    <w:rsid w:val="00C01C8F"/>
    <w:rsid w:val="00C10D67"/>
    <w:rsid w:val="00C12B70"/>
    <w:rsid w:val="00C15047"/>
    <w:rsid w:val="00C270E7"/>
    <w:rsid w:val="00C30E78"/>
    <w:rsid w:val="00C33651"/>
    <w:rsid w:val="00C36570"/>
    <w:rsid w:val="00C56E51"/>
    <w:rsid w:val="00C644FB"/>
    <w:rsid w:val="00C64BAF"/>
    <w:rsid w:val="00C74632"/>
    <w:rsid w:val="00C83831"/>
    <w:rsid w:val="00C95407"/>
    <w:rsid w:val="00C97A2C"/>
    <w:rsid w:val="00CA0455"/>
    <w:rsid w:val="00CA7D54"/>
    <w:rsid w:val="00CB2AFA"/>
    <w:rsid w:val="00CB5094"/>
    <w:rsid w:val="00CC0148"/>
    <w:rsid w:val="00CD2380"/>
    <w:rsid w:val="00CD3E14"/>
    <w:rsid w:val="00CD6BAD"/>
    <w:rsid w:val="00CE4F55"/>
    <w:rsid w:val="00D045E1"/>
    <w:rsid w:val="00D075CC"/>
    <w:rsid w:val="00D129C2"/>
    <w:rsid w:val="00D32CA1"/>
    <w:rsid w:val="00D41A30"/>
    <w:rsid w:val="00D42D38"/>
    <w:rsid w:val="00D45173"/>
    <w:rsid w:val="00D540D9"/>
    <w:rsid w:val="00D56B5A"/>
    <w:rsid w:val="00D608E8"/>
    <w:rsid w:val="00D64D8A"/>
    <w:rsid w:val="00D7709B"/>
    <w:rsid w:val="00D82BB4"/>
    <w:rsid w:val="00D93670"/>
    <w:rsid w:val="00DB209F"/>
    <w:rsid w:val="00DB7C7F"/>
    <w:rsid w:val="00DC2299"/>
    <w:rsid w:val="00DE283C"/>
    <w:rsid w:val="00DF007A"/>
    <w:rsid w:val="00DF1FFB"/>
    <w:rsid w:val="00DF4B24"/>
    <w:rsid w:val="00E0399F"/>
    <w:rsid w:val="00E14D89"/>
    <w:rsid w:val="00E221DE"/>
    <w:rsid w:val="00E248E2"/>
    <w:rsid w:val="00E57EFC"/>
    <w:rsid w:val="00E85C5A"/>
    <w:rsid w:val="00E933B4"/>
    <w:rsid w:val="00EB72A5"/>
    <w:rsid w:val="00ED0A59"/>
    <w:rsid w:val="00EF5910"/>
    <w:rsid w:val="00F00205"/>
    <w:rsid w:val="00F01116"/>
    <w:rsid w:val="00F061F9"/>
    <w:rsid w:val="00F0699E"/>
    <w:rsid w:val="00F10CF9"/>
    <w:rsid w:val="00F1619B"/>
    <w:rsid w:val="00F23E3A"/>
    <w:rsid w:val="00F32ECB"/>
    <w:rsid w:val="00F43877"/>
    <w:rsid w:val="00F47248"/>
    <w:rsid w:val="00F55FF6"/>
    <w:rsid w:val="00F56158"/>
    <w:rsid w:val="00F71223"/>
    <w:rsid w:val="00F7123D"/>
    <w:rsid w:val="00F7629F"/>
    <w:rsid w:val="00F8071D"/>
    <w:rsid w:val="00F822E8"/>
    <w:rsid w:val="00F925A9"/>
    <w:rsid w:val="00FA0B4E"/>
    <w:rsid w:val="00FA361F"/>
    <w:rsid w:val="00FB6C15"/>
    <w:rsid w:val="00FC294C"/>
    <w:rsid w:val="00FD15F9"/>
    <w:rsid w:val="00FD4DE3"/>
    <w:rsid w:val="00FD7605"/>
    <w:rsid w:val="00FD7DB7"/>
    <w:rsid w:val="00FE389C"/>
    <w:rsid w:val="00FE4F93"/>
    <w:rsid w:val="00FF4DE0"/>
    <w:rsid w:val="01005756"/>
    <w:rsid w:val="010B6039"/>
    <w:rsid w:val="013A3B33"/>
    <w:rsid w:val="0154539F"/>
    <w:rsid w:val="0182782E"/>
    <w:rsid w:val="020D6BFB"/>
    <w:rsid w:val="021162A6"/>
    <w:rsid w:val="02273865"/>
    <w:rsid w:val="02366FFA"/>
    <w:rsid w:val="024577C5"/>
    <w:rsid w:val="025059C2"/>
    <w:rsid w:val="02690CE7"/>
    <w:rsid w:val="028B1C7E"/>
    <w:rsid w:val="02AE6F80"/>
    <w:rsid w:val="02DA6F51"/>
    <w:rsid w:val="02F70F25"/>
    <w:rsid w:val="0319644A"/>
    <w:rsid w:val="032C4272"/>
    <w:rsid w:val="03351A39"/>
    <w:rsid w:val="0335527C"/>
    <w:rsid w:val="03421A86"/>
    <w:rsid w:val="03451C55"/>
    <w:rsid w:val="034A6B69"/>
    <w:rsid w:val="035A2E65"/>
    <w:rsid w:val="035C2B1E"/>
    <w:rsid w:val="035F4BFF"/>
    <w:rsid w:val="037A4642"/>
    <w:rsid w:val="03851372"/>
    <w:rsid w:val="0392000D"/>
    <w:rsid w:val="03B3317D"/>
    <w:rsid w:val="03F406C6"/>
    <w:rsid w:val="03F458F9"/>
    <w:rsid w:val="03F868E1"/>
    <w:rsid w:val="0404151F"/>
    <w:rsid w:val="04131283"/>
    <w:rsid w:val="041570BB"/>
    <w:rsid w:val="043221BA"/>
    <w:rsid w:val="044B100E"/>
    <w:rsid w:val="0456777B"/>
    <w:rsid w:val="0479693F"/>
    <w:rsid w:val="04822527"/>
    <w:rsid w:val="048D7AF8"/>
    <w:rsid w:val="048E6181"/>
    <w:rsid w:val="049C428F"/>
    <w:rsid w:val="04AA2D48"/>
    <w:rsid w:val="04C142C9"/>
    <w:rsid w:val="04CC2F01"/>
    <w:rsid w:val="04D54670"/>
    <w:rsid w:val="05611732"/>
    <w:rsid w:val="056D578B"/>
    <w:rsid w:val="058647D1"/>
    <w:rsid w:val="05E5642C"/>
    <w:rsid w:val="05E94C46"/>
    <w:rsid w:val="061974FC"/>
    <w:rsid w:val="0642298A"/>
    <w:rsid w:val="06736D9B"/>
    <w:rsid w:val="06A34CF1"/>
    <w:rsid w:val="06E717BD"/>
    <w:rsid w:val="071811B5"/>
    <w:rsid w:val="071E61E5"/>
    <w:rsid w:val="0731569A"/>
    <w:rsid w:val="07523755"/>
    <w:rsid w:val="07663357"/>
    <w:rsid w:val="078063E4"/>
    <w:rsid w:val="07874C23"/>
    <w:rsid w:val="07A21836"/>
    <w:rsid w:val="07DA160C"/>
    <w:rsid w:val="07DC28D3"/>
    <w:rsid w:val="07E11787"/>
    <w:rsid w:val="07E52A71"/>
    <w:rsid w:val="07FD2D98"/>
    <w:rsid w:val="080F009B"/>
    <w:rsid w:val="08166F65"/>
    <w:rsid w:val="08370F52"/>
    <w:rsid w:val="083D0018"/>
    <w:rsid w:val="085D4889"/>
    <w:rsid w:val="0866534D"/>
    <w:rsid w:val="08775975"/>
    <w:rsid w:val="088A4FBA"/>
    <w:rsid w:val="0891748F"/>
    <w:rsid w:val="08994CDF"/>
    <w:rsid w:val="08A34EFD"/>
    <w:rsid w:val="08AF59D6"/>
    <w:rsid w:val="08B938FD"/>
    <w:rsid w:val="08F615B5"/>
    <w:rsid w:val="092D453C"/>
    <w:rsid w:val="09322709"/>
    <w:rsid w:val="09426F3A"/>
    <w:rsid w:val="094E6C4A"/>
    <w:rsid w:val="09A94097"/>
    <w:rsid w:val="09FD0D24"/>
    <w:rsid w:val="0A102F45"/>
    <w:rsid w:val="0A19031B"/>
    <w:rsid w:val="0A2704D4"/>
    <w:rsid w:val="0A280E6B"/>
    <w:rsid w:val="0A2C2751"/>
    <w:rsid w:val="0A5B55BA"/>
    <w:rsid w:val="0A8C7A7A"/>
    <w:rsid w:val="0A9F371F"/>
    <w:rsid w:val="0AAD521E"/>
    <w:rsid w:val="0AE50388"/>
    <w:rsid w:val="0AF94282"/>
    <w:rsid w:val="0AFC2F4F"/>
    <w:rsid w:val="0B011562"/>
    <w:rsid w:val="0B137A1B"/>
    <w:rsid w:val="0B1B4CF8"/>
    <w:rsid w:val="0B67347C"/>
    <w:rsid w:val="0B710514"/>
    <w:rsid w:val="0B7416A9"/>
    <w:rsid w:val="0B756FAF"/>
    <w:rsid w:val="0B78221C"/>
    <w:rsid w:val="0BAE6DBE"/>
    <w:rsid w:val="0BC06A95"/>
    <w:rsid w:val="0BC71737"/>
    <w:rsid w:val="0C040F06"/>
    <w:rsid w:val="0C106F9F"/>
    <w:rsid w:val="0C9048C4"/>
    <w:rsid w:val="0CB86922"/>
    <w:rsid w:val="0CE2456F"/>
    <w:rsid w:val="0CFA51DC"/>
    <w:rsid w:val="0D2F4E38"/>
    <w:rsid w:val="0D841BE1"/>
    <w:rsid w:val="0DA014B1"/>
    <w:rsid w:val="0DA82CC0"/>
    <w:rsid w:val="0DAB2DDE"/>
    <w:rsid w:val="0DB05DBC"/>
    <w:rsid w:val="0DF25C9D"/>
    <w:rsid w:val="0DF5590B"/>
    <w:rsid w:val="0E13284E"/>
    <w:rsid w:val="0E165D0D"/>
    <w:rsid w:val="0E31543A"/>
    <w:rsid w:val="0E3A79AB"/>
    <w:rsid w:val="0E54759D"/>
    <w:rsid w:val="0E691FB7"/>
    <w:rsid w:val="0E6E4135"/>
    <w:rsid w:val="0E74560C"/>
    <w:rsid w:val="0E9959A5"/>
    <w:rsid w:val="0EEB78EA"/>
    <w:rsid w:val="0F4C58D6"/>
    <w:rsid w:val="0F9B498C"/>
    <w:rsid w:val="0FB266F3"/>
    <w:rsid w:val="0FB317EC"/>
    <w:rsid w:val="0FB82469"/>
    <w:rsid w:val="0FBD63CA"/>
    <w:rsid w:val="0FF86781"/>
    <w:rsid w:val="10081A1C"/>
    <w:rsid w:val="10326BE5"/>
    <w:rsid w:val="104766CA"/>
    <w:rsid w:val="108470CC"/>
    <w:rsid w:val="108A5C10"/>
    <w:rsid w:val="108B346E"/>
    <w:rsid w:val="10B27F67"/>
    <w:rsid w:val="10BF0D9C"/>
    <w:rsid w:val="10D8128F"/>
    <w:rsid w:val="10F1136E"/>
    <w:rsid w:val="10F74CDD"/>
    <w:rsid w:val="111E583E"/>
    <w:rsid w:val="11234EAC"/>
    <w:rsid w:val="11280CE5"/>
    <w:rsid w:val="1132222C"/>
    <w:rsid w:val="11603D54"/>
    <w:rsid w:val="11714C09"/>
    <w:rsid w:val="118D6C1F"/>
    <w:rsid w:val="11D06C16"/>
    <w:rsid w:val="11D94C17"/>
    <w:rsid w:val="11E05E39"/>
    <w:rsid w:val="1209634E"/>
    <w:rsid w:val="120E0D4E"/>
    <w:rsid w:val="122A1885"/>
    <w:rsid w:val="123F066B"/>
    <w:rsid w:val="125B18F8"/>
    <w:rsid w:val="12A44C23"/>
    <w:rsid w:val="12B419C0"/>
    <w:rsid w:val="12CB5CF0"/>
    <w:rsid w:val="12D96805"/>
    <w:rsid w:val="12EC5C86"/>
    <w:rsid w:val="13256918"/>
    <w:rsid w:val="137B3C54"/>
    <w:rsid w:val="138024DE"/>
    <w:rsid w:val="139738BB"/>
    <w:rsid w:val="13A84382"/>
    <w:rsid w:val="13B627D1"/>
    <w:rsid w:val="13D5076C"/>
    <w:rsid w:val="13FF783C"/>
    <w:rsid w:val="14172142"/>
    <w:rsid w:val="14540124"/>
    <w:rsid w:val="145F34CA"/>
    <w:rsid w:val="14606C62"/>
    <w:rsid w:val="14710D2A"/>
    <w:rsid w:val="14A4004A"/>
    <w:rsid w:val="14E75EF3"/>
    <w:rsid w:val="14FF6842"/>
    <w:rsid w:val="1500100A"/>
    <w:rsid w:val="155311EC"/>
    <w:rsid w:val="156435DE"/>
    <w:rsid w:val="15871783"/>
    <w:rsid w:val="158D7D50"/>
    <w:rsid w:val="159B0B2D"/>
    <w:rsid w:val="15B672B1"/>
    <w:rsid w:val="15C7219A"/>
    <w:rsid w:val="15DE297A"/>
    <w:rsid w:val="15FB0965"/>
    <w:rsid w:val="16110CF3"/>
    <w:rsid w:val="167D54B6"/>
    <w:rsid w:val="16903BCF"/>
    <w:rsid w:val="16E33633"/>
    <w:rsid w:val="16F62377"/>
    <w:rsid w:val="170137D9"/>
    <w:rsid w:val="171432AF"/>
    <w:rsid w:val="171B286D"/>
    <w:rsid w:val="172120AF"/>
    <w:rsid w:val="173A1A6A"/>
    <w:rsid w:val="173E3BCE"/>
    <w:rsid w:val="17667CCB"/>
    <w:rsid w:val="176A5D8F"/>
    <w:rsid w:val="177B54F5"/>
    <w:rsid w:val="17817BFA"/>
    <w:rsid w:val="179646AC"/>
    <w:rsid w:val="17C12F1C"/>
    <w:rsid w:val="17C5452A"/>
    <w:rsid w:val="17C72CA2"/>
    <w:rsid w:val="17CD5DF9"/>
    <w:rsid w:val="17F0215C"/>
    <w:rsid w:val="17FB4A17"/>
    <w:rsid w:val="18440654"/>
    <w:rsid w:val="18497648"/>
    <w:rsid w:val="18536F1F"/>
    <w:rsid w:val="186C5001"/>
    <w:rsid w:val="18840A2F"/>
    <w:rsid w:val="189A1A2D"/>
    <w:rsid w:val="18F46BB4"/>
    <w:rsid w:val="18FE0C3F"/>
    <w:rsid w:val="190D0F6D"/>
    <w:rsid w:val="1958652E"/>
    <w:rsid w:val="195C4D92"/>
    <w:rsid w:val="19936BE4"/>
    <w:rsid w:val="19995CF2"/>
    <w:rsid w:val="199F382C"/>
    <w:rsid w:val="19B46E59"/>
    <w:rsid w:val="19CE1A1A"/>
    <w:rsid w:val="19D81790"/>
    <w:rsid w:val="19E34C9E"/>
    <w:rsid w:val="1A07492D"/>
    <w:rsid w:val="1A252BA8"/>
    <w:rsid w:val="1A755A0D"/>
    <w:rsid w:val="1A8D1EAE"/>
    <w:rsid w:val="1A8D36CF"/>
    <w:rsid w:val="1AAC799F"/>
    <w:rsid w:val="1AB70734"/>
    <w:rsid w:val="1AC17179"/>
    <w:rsid w:val="1AFD018C"/>
    <w:rsid w:val="1B33036A"/>
    <w:rsid w:val="1B3305F5"/>
    <w:rsid w:val="1B396315"/>
    <w:rsid w:val="1B4A6381"/>
    <w:rsid w:val="1B597457"/>
    <w:rsid w:val="1B707A4A"/>
    <w:rsid w:val="1B877265"/>
    <w:rsid w:val="1B936F11"/>
    <w:rsid w:val="1BCC377F"/>
    <w:rsid w:val="1C03328A"/>
    <w:rsid w:val="1C08046B"/>
    <w:rsid w:val="1C2C461B"/>
    <w:rsid w:val="1C360188"/>
    <w:rsid w:val="1C5A3B19"/>
    <w:rsid w:val="1C76336F"/>
    <w:rsid w:val="1C952B3D"/>
    <w:rsid w:val="1CBF5CD4"/>
    <w:rsid w:val="1CC85741"/>
    <w:rsid w:val="1CE45C9C"/>
    <w:rsid w:val="1D062189"/>
    <w:rsid w:val="1D2452DC"/>
    <w:rsid w:val="1D2F7701"/>
    <w:rsid w:val="1D316B88"/>
    <w:rsid w:val="1D3769F5"/>
    <w:rsid w:val="1D56380F"/>
    <w:rsid w:val="1D63160D"/>
    <w:rsid w:val="1DAD0D61"/>
    <w:rsid w:val="1DAE1A84"/>
    <w:rsid w:val="1DB30841"/>
    <w:rsid w:val="1DB51EFE"/>
    <w:rsid w:val="1DD52607"/>
    <w:rsid w:val="1E160E36"/>
    <w:rsid w:val="1E4235E0"/>
    <w:rsid w:val="1E8A35CB"/>
    <w:rsid w:val="1E8E77E0"/>
    <w:rsid w:val="1ECE0E38"/>
    <w:rsid w:val="1F116933"/>
    <w:rsid w:val="1F1B1809"/>
    <w:rsid w:val="1F3A7D11"/>
    <w:rsid w:val="1F7D5AB7"/>
    <w:rsid w:val="1FB92C8C"/>
    <w:rsid w:val="1FBF5AB0"/>
    <w:rsid w:val="1FFE63B6"/>
    <w:rsid w:val="201857D9"/>
    <w:rsid w:val="201D5509"/>
    <w:rsid w:val="20373680"/>
    <w:rsid w:val="20434851"/>
    <w:rsid w:val="2069298F"/>
    <w:rsid w:val="20857D2F"/>
    <w:rsid w:val="20AB7316"/>
    <w:rsid w:val="20B014CA"/>
    <w:rsid w:val="20B51AFC"/>
    <w:rsid w:val="20B82F13"/>
    <w:rsid w:val="20C16490"/>
    <w:rsid w:val="20EF78CE"/>
    <w:rsid w:val="21021A56"/>
    <w:rsid w:val="21084EE1"/>
    <w:rsid w:val="212555CC"/>
    <w:rsid w:val="212860D0"/>
    <w:rsid w:val="213D5711"/>
    <w:rsid w:val="2151160A"/>
    <w:rsid w:val="21627E65"/>
    <w:rsid w:val="21706B68"/>
    <w:rsid w:val="21794AFD"/>
    <w:rsid w:val="21812CFD"/>
    <w:rsid w:val="2181354E"/>
    <w:rsid w:val="21884F95"/>
    <w:rsid w:val="21A13DF2"/>
    <w:rsid w:val="21C369AF"/>
    <w:rsid w:val="21EE0C9D"/>
    <w:rsid w:val="220A3B85"/>
    <w:rsid w:val="221D4040"/>
    <w:rsid w:val="222647E8"/>
    <w:rsid w:val="2237311B"/>
    <w:rsid w:val="225F56E3"/>
    <w:rsid w:val="22742C6C"/>
    <w:rsid w:val="228C44B6"/>
    <w:rsid w:val="22ED60C2"/>
    <w:rsid w:val="23113241"/>
    <w:rsid w:val="233D57B3"/>
    <w:rsid w:val="23594AE3"/>
    <w:rsid w:val="236679DC"/>
    <w:rsid w:val="23737235"/>
    <w:rsid w:val="23B044BF"/>
    <w:rsid w:val="23DD757B"/>
    <w:rsid w:val="23E15048"/>
    <w:rsid w:val="243A5F6B"/>
    <w:rsid w:val="24891B26"/>
    <w:rsid w:val="24975032"/>
    <w:rsid w:val="24B63E0E"/>
    <w:rsid w:val="25330F4C"/>
    <w:rsid w:val="25461FBF"/>
    <w:rsid w:val="254E6757"/>
    <w:rsid w:val="25526E04"/>
    <w:rsid w:val="255D63AE"/>
    <w:rsid w:val="257D5ADD"/>
    <w:rsid w:val="25894E3B"/>
    <w:rsid w:val="258E2A0C"/>
    <w:rsid w:val="25921660"/>
    <w:rsid w:val="25AB5092"/>
    <w:rsid w:val="25C33F83"/>
    <w:rsid w:val="26045DC0"/>
    <w:rsid w:val="2605184F"/>
    <w:rsid w:val="260E06C1"/>
    <w:rsid w:val="264A1C52"/>
    <w:rsid w:val="26644187"/>
    <w:rsid w:val="26C63A18"/>
    <w:rsid w:val="27110C09"/>
    <w:rsid w:val="271133FB"/>
    <w:rsid w:val="277652E7"/>
    <w:rsid w:val="27766DB7"/>
    <w:rsid w:val="27980074"/>
    <w:rsid w:val="27A06D16"/>
    <w:rsid w:val="27AD161C"/>
    <w:rsid w:val="27E95D5B"/>
    <w:rsid w:val="27F41FC6"/>
    <w:rsid w:val="28240CE2"/>
    <w:rsid w:val="2850681A"/>
    <w:rsid w:val="28534DC3"/>
    <w:rsid w:val="2870607F"/>
    <w:rsid w:val="28971553"/>
    <w:rsid w:val="28B7175B"/>
    <w:rsid w:val="28B87BE7"/>
    <w:rsid w:val="28BE2033"/>
    <w:rsid w:val="28CD7EBF"/>
    <w:rsid w:val="28F55AB7"/>
    <w:rsid w:val="29097819"/>
    <w:rsid w:val="294B45A7"/>
    <w:rsid w:val="2952569E"/>
    <w:rsid w:val="29693EA5"/>
    <w:rsid w:val="29C82CA7"/>
    <w:rsid w:val="29D4076B"/>
    <w:rsid w:val="29DE33C9"/>
    <w:rsid w:val="29E30352"/>
    <w:rsid w:val="2A385F81"/>
    <w:rsid w:val="2A4811E4"/>
    <w:rsid w:val="2A520D5B"/>
    <w:rsid w:val="2A5D6080"/>
    <w:rsid w:val="2A6D3B42"/>
    <w:rsid w:val="2A751193"/>
    <w:rsid w:val="2A797011"/>
    <w:rsid w:val="2A817277"/>
    <w:rsid w:val="2AC7132A"/>
    <w:rsid w:val="2ACC0A52"/>
    <w:rsid w:val="2ADB4C8F"/>
    <w:rsid w:val="2AE77030"/>
    <w:rsid w:val="2B03362C"/>
    <w:rsid w:val="2B09243A"/>
    <w:rsid w:val="2B267255"/>
    <w:rsid w:val="2B9F5992"/>
    <w:rsid w:val="2BA93D37"/>
    <w:rsid w:val="2BDE5B7C"/>
    <w:rsid w:val="2BEF34E2"/>
    <w:rsid w:val="2C0A0D07"/>
    <w:rsid w:val="2C1E0781"/>
    <w:rsid w:val="2C3F3241"/>
    <w:rsid w:val="2C3F76B8"/>
    <w:rsid w:val="2C561853"/>
    <w:rsid w:val="2C694706"/>
    <w:rsid w:val="2C6E6582"/>
    <w:rsid w:val="2C7C12A8"/>
    <w:rsid w:val="2C8A4AC5"/>
    <w:rsid w:val="2C8B3969"/>
    <w:rsid w:val="2C987FA1"/>
    <w:rsid w:val="2CB77438"/>
    <w:rsid w:val="2CED13AD"/>
    <w:rsid w:val="2D001C70"/>
    <w:rsid w:val="2D1F42D7"/>
    <w:rsid w:val="2D38398A"/>
    <w:rsid w:val="2D436398"/>
    <w:rsid w:val="2D462948"/>
    <w:rsid w:val="2D5155B0"/>
    <w:rsid w:val="2DD46FB2"/>
    <w:rsid w:val="2E102733"/>
    <w:rsid w:val="2E1D5228"/>
    <w:rsid w:val="2E2C251A"/>
    <w:rsid w:val="2E3A037A"/>
    <w:rsid w:val="2E4A6905"/>
    <w:rsid w:val="2E9B4A80"/>
    <w:rsid w:val="2E9C20D5"/>
    <w:rsid w:val="2EE20926"/>
    <w:rsid w:val="2EF37A5B"/>
    <w:rsid w:val="2F005662"/>
    <w:rsid w:val="2F2005D6"/>
    <w:rsid w:val="2F236312"/>
    <w:rsid w:val="2F7D2A25"/>
    <w:rsid w:val="2FBA45D0"/>
    <w:rsid w:val="300A0DAD"/>
    <w:rsid w:val="300B5D93"/>
    <w:rsid w:val="30293A50"/>
    <w:rsid w:val="30304FA4"/>
    <w:rsid w:val="303346B8"/>
    <w:rsid w:val="30586F20"/>
    <w:rsid w:val="30600482"/>
    <w:rsid w:val="30640BEB"/>
    <w:rsid w:val="30890AF5"/>
    <w:rsid w:val="30955E03"/>
    <w:rsid w:val="30B607E2"/>
    <w:rsid w:val="30CA5BB5"/>
    <w:rsid w:val="30E9667D"/>
    <w:rsid w:val="30FE1BBA"/>
    <w:rsid w:val="310E7831"/>
    <w:rsid w:val="313C1F55"/>
    <w:rsid w:val="31785E78"/>
    <w:rsid w:val="317B01F7"/>
    <w:rsid w:val="3182317D"/>
    <w:rsid w:val="31854048"/>
    <w:rsid w:val="31961FB0"/>
    <w:rsid w:val="31974805"/>
    <w:rsid w:val="31DA742C"/>
    <w:rsid w:val="31E346B6"/>
    <w:rsid w:val="32053867"/>
    <w:rsid w:val="32166AD1"/>
    <w:rsid w:val="32285A7D"/>
    <w:rsid w:val="32361A7F"/>
    <w:rsid w:val="326E435D"/>
    <w:rsid w:val="329B5FE3"/>
    <w:rsid w:val="32A86D25"/>
    <w:rsid w:val="32B53D91"/>
    <w:rsid w:val="32EF32CA"/>
    <w:rsid w:val="32F205F3"/>
    <w:rsid w:val="32FE1828"/>
    <w:rsid w:val="333A414D"/>
    <w:rsid w:val="33752C73"/>
    <w:rsid w:val="33AD0B5D"/>
    <w:rsid w:val="33BC21EA"/>
    <w:rsid w:val="33CD7BE0"/>
    <w:rsid w:val="34294023"/>
    <w:rsid w:val="34327647"/>
    <w:rsid w:val="34346240"/>
    <w:rsid w:val="349851EB"/>
    <w:rsid w:val="34A713B6"/>
    <w:rsid w:val="34BB3C38"/>
    <w:rsid w:val="34C56114"/>
    <w:rsid w:val="34C72742"/>
    <w:rsid w:val="34DA7A64"/>
    <w:rsid w:val="34E42808"/>
    <w:rsid w:val="34EA151C"/>
    <w:rsid w:val="34ED6E19"/>
    <w:rsid w:val="34FE61DD"/>
    <w:rsid w:val="350F5767"/>
    <w:rsid w:val="35172203"/>
    <w:rsid w:val="3533032A"/>
    <w:rsid w:val="353B4848"/>
    <w:rsid w:val="353C1148"/>
    <w:rsid w:val="3549269C"/>
    <w:rsid w:val="355B47F3"/>
    <w:rsid w:val="35775B09"/>
    <w:rsid w:val="357B4A0A"/>
    <w:rsid w:val="35887FE0"/>
    <w:rsid w:val="35980BB7"/>
    <w:rsid w:val="35AD3596"/>
    <w:rsid w:val="35C05DB8"/>
    <w:rsid w:val="35F674C1"/>
    <w:rsid w:val="361D3305"/>
    <w:rsid w:val="36231DFA"/>
    <w:rsid w:val="3629078D"/>
    <w:rsid w:val="36374F0F"/>
    <w:rsid w:val="365C7461"/>
    <w:rsid w:val="36720364"/>
    <w:rsid w:val="367C245D"/>
    <w:rsid w:val="368222E1"/>
    <w:rsid w:val="36C0415D"/>
    <w:rsid w:val="36D17A3C"/>
    <w:rsid w:val="36D42ED2"/>
    <w:rsid w:val="36DE26BE"/>
    <w:rsid w:val="36F314FE"/>
    <w:rsid w:val="36FD3A8C"/>
    <w:rsid w:val="371059F2"/>
    <w:rsid w:val="371201FF"/>
    <w:rsid w:val="372F512C"/>
    <w:rsid w:val="375531F2"/>
    <w:rsid w:val="375B5AC3"/>
    <w:rsid w:val="37694066"/>
    <w:rsid w:val="37A56384"/>
    <w:rsid w:val="37A91FD9"/>
    <w:rsid w:val="37CF6B73"/>
    <w:rsid w:val="37F50DB6"/>
    <w:rsid w:val="38374755"/>
    <w:rsid w:val="38392A2D"/>
    <w:rsid w:val="383F0FDD"/>
    <w:rsid w:val="388B448C"/>
    <w:rsid w:val="3897603A"/>
    <w:rsid w:val="38AA37BE"/>
    <w:rsid w:val="38BA189E"/>
    <w:rsid w:val="38EC25D2"/>
    <w:rsid w:val="38F15BFE"/>
    <w:rsid w:val="390044B2"/>
    <w:rsid w:val="390F6B3C"/>
    <w:rsid w:val="391D688C"/>
    <w:rsid w:val="392B260E"/>
    <w:rsid w:val="394F027D"/>
    <w:rsid w:val="397A0F07"/>
    <w:rsid w:val="39BE0342"/>
    <w:rsid w:val="39C55F48"/>
    <w:rsid w:val="39FE4383"/>
    <w:rsid w:val="3A3C13BA"/>
    <w:rsid w:val="3A7133E6"/>
    <w:rsid w:val="3A7740A5"/>
    <w:rsid w:val="3A7822B0"/>
    <w:rsid w:val="3A7D041C"/>
    <w:rsid w:val="3A8A6E93"/>
    <w:rsid w:val="3A8C66C3"/>
    <w:rsid w:val="3A9A3BC3"/>
    <w:rsid w:val="3A9D0CFA"/>
    <w:rsid w:val="3AC1073E"/>
    <w:rsid w:val="3AC73A09"/>
    <w:rsid w:val="3AD911EB"/>
    <w:rsid w:val="3AF96329"/>
    <w:rsid w:val="3B210D14"/>
    <w:rsid w:val="3B214F44"/>
    <w:rsid w:val="3B261694"/>
    <w:rsid w:val="3B4655A8"/>
    <w:rsid w:val="3B6A6D44"/>
    <w:rsid w:val="3BA40D3A"/>
    <w:rsid w:val="3BAF38CF"/>
    <w:rsid w:val="3BB649FC"/>
    <w:rsid w:val="3BBE7BB1"/>
    <w:rsid w:val="3BC13749"/>
    <w:rsid w:val="3BFD1DF5"/>
    <w:rsid w:val="3C234A00"/>
    <w:rsid w:val="3C3322EC"/>
    <w:rsid w:val="3C6023C7"/>
    <w:rsid w:val="3C6D0E9E"/>
    <w:rsid w:val="3C811A43"/>
    <w:rsid w:val="3C886AC6"/>
    <w:rsid w:val="3CA62A58"/>
    <w:rsid w:val="3CB24B9B"/>
    <w:rsid w:val="3CC57A22"/>
    <w:rsid w:val="3CEB5A28"/>
    <w:rsid w:val="3D723CFC"/>
    <w:rsid w:val="3D823197"/>
    <w:rsid w:val="3D8864B0"/>
    <w:rsid w:val="3D8D72A7"/>
    <w:rsid w:val="3D9E7D16"/>
    <w:rsid w:val="3D9F7FB3"/>
    <w:rsid w:val="3DB65148"/>
    <w:rsid w:val="3DCD5718"/>
    <w:rsid w:val="3DE401B6"/>
    <w:rsid w:val="3DE860E7"/>
    <w:rsid w:val="3DFA60A1"/>
    <w:rsid w:val="3DFD5D2F"/>
    <w:rsid w:val="3E012A59"/>
    <w:rsid w:val="3E092FE5"/>
    <w:rsid w:val="3E1376CF"/>
    <w:rsid w:val="3E1713B0"/>
    <w:rsid w:val="3E363ABB"/>
    <w:rsid w:val="3E3B6EE7"/>
    <w:rsid w:val="3E4B066F"/>
    <w:rsid w:val="3E63144B"/>
    <w:rsid w:val="3E861BE1"/>
    <w:rsid w:val="3E8F0585"/>
    <w:rsid w:val="3ECB70E9"/>
    <w:rsid w:val="3ED561FB"/>
    <w:rsid w:val="3EE465C2"/>
    <w:rsid w:val="3F0D3E7B"/>
    <w:rsid w:val="3F156E57"/>
    <w:rsid w:val="3F1E38A7"/>
    <w:rsid w:val="3F2C3117"/>
    <w:rsid w:val="3F2C488A"/>
    <w:rsid w:val="3F411775"/>
    <w:rsid w:val="3F521F81"/>
    <w:rsid w:val="3F65277C"/>
    <w:rsid w:val="3F812E98"/>
    <w:rsid w:val="3FB2103F"/>
    <w:rsid w:val="3FBC2607"/>
    <w:rsid w:val="3FC1187A"/>
    <w:rsid w:val="3FD008E4"/>
    <w:rsid w:val="3FFD5A59"/>
    <w:rsid w:val="40186A7B"/>
    <w:rsid w:val="402D4A03"/>
    <w:rsid w:val="40495524"/>
    <w:rsid w:val="407E493D"/>
    <w:rsid w:val="40B5570F"/>
    <w:rsid w:val="40C0043B"/>
    <w:rsid w:val="40CA6121"/>
    <w:rsid w:val="41475ED3"/>
    <w:rsid w:val="41523293"/>
    <w:rsid w:val="415D7D2D"/>
    <w:rsid w:val="4164569E"/>
    <w:rsid w:val="417518CD"/>
    <w:rsid w:val="419939D4"/>
    <w:rsid w:val="41AE7C1F"/>
    <w:rsid w:val="41CA43C9"/>
    <w:rsid w:val="41CE0D9E"/>
    <w:rsid w:val="42111ADB"/>
    <w:rsid w:val="424C0E27"/>
    <w:rsid w:val="425C415B"/>
    <w:rsid w:val="4282001E"/>
    <w:rsid w:val="42A934E6"/>
    <w:rsid w:val="42AA37BF"/>
    <w:rsid w:val="42BA0F04"/>
    <w:rsid w:val="42CE3736"/>
    <w:rsid w:val="42D13960"/>
    <w:rsid w:val="42D37485"/>
    <w:rsid w:val="42E8451F"/>
    <w:rsid w:val="43156CE3"/>
    <w:rsid w:val="434F0718"/>
    <w:rsid w:val="438B785E"/>
    <w:rsid w:val="43970033"/>
    <w:rsid w:val="43C4013D"/>
    <w:rsid w:val="43EE2D9E"/>
    <w:rsid w:val="43F20E3A"/>
    <w:rsid w:val="443D3DC1"/>
    <w:rsid w:val="446926FD"/>
    <w:rsid w:val="44B0178A"/>
    <w:rsid w:val="44EA2713"/>
    <w:rsid w:val="44FE529E"/>
    <w:rsid w:val="450163B3"/>
    <w:rsid w:val="4540119A"/>
    <w:rsid w:val="45523711"/>
    <w:rsid w:val="4561275C"/>
    <w:rsid w:val="45655144"/>
    <w:rsid w:val="457B1E6C"/>
    <w:rsid w:val="45AB25AB"/>
    <w:rsid w:val="45AB7BC8"/>
    <w:rsid w:val="45CA18C9"/>
    <w:rsid w:val="45D91681"/>
    <w:rsid w:val="45DD656B"/>
    <w:rsid w:val="45E40799"/>
    <w:rsid w:val="45FE17C3"/>
    <w:rsid w:val="46044E6C"/>
    <w:rsid w:val="46050CF2"/>
    <w:rsid w:val="463E7881"/>
    <w:rsid w:val="46416798"/>
    <w:rsid w:val="464B5FA7"/>
    <w:rsid w:val="466B2D47"/>
    <w:rsid w:val="46A72AA0"/>
    <w:rsid w:val="46CB39D4"/>
    <w:rsid w:val="46D3038B"/>
    <w:rsid w:val="46E93141"/>
    <w:rsid w:val="46F803B8"/>
    <w:rsid w:val="4731120F"/>
    <w:rsid w:val="47416953"/>
    <w:rsid w:val="476C293E"/>
    <w:rsid w:val="47811EC7"/>
    <w:rsid w:val="47D96EC5"/>
    <w:rsid w:val="47E95D00"/>
    <w:rsid w:val="47ED2693"/>
    <w:rsid w:val="47F358E0"/>
    <w:rsid w:val="48121D24"/>
    <w:rsid w:val="48314DAB"/>
    <w:rsid w:val="48355721"/>
    <w:rsid w:val="483C1AD4"/>
    <w:rsid w:val="48606B3F"/>
    <w:rsid w:val="486D58E1"/>
    <w:rsid w:val="48AF4D66"/>
    <w:rsid w:val="48B2047C"/>
    <w:rsid w:val="48B20751"/>
    <w:rsid w:val="49045175"/>
    <w:rsid w:val="49104D24"/>
    <w:rsid w:val="49146B66"/>
    <w:rsid w:val="492C6073"/>
    <w:rsid w:val="492E5EA1"/>
    <w:rsid w:val="494E687A"/>
    <w:rsid w:val="49843B86"/>
    <w:rsid w:val="498C4B52"/>
    <w:rsid w:val="499C4506"/>
    <w:rsid w:val="49AE5903"/>
    <w:rsid w:val="49C669C5"/>
    <w:rsid w:val="49EC490A"/>
    <w:rsid w:val="49FA3553"/>
    <w:rsid w:val="49FC2DEC"/>
    <w:rsid w:val="4A070E3C"/>
    <w:rsid w:val="4A5D2FD2"/>
    <w:rsid w:val="4AAF762D"/>
    <w:rsid w:val="4ABD4306"/>
    <w:rsid w:val="4ACC4A26"/>
    <w:rsid w:val="4AEF2251"/>
    <w:rsid w:val="4B0A3AF4"/>
    <w:rsid w:val="4B2B3C4E"/>
    <w:rsid w:val="4B2F5453"/>
    <w:rsid w:val="4B7915DC"/>
    <w:rsid w:val="4B951EAB"/>
    <w:rsid w:val="4B9B17C3"/>
    <w:rsid w:val="4BAE2EE0"/>
    <w:rsid w:val="4BB048B3"/>
    <w:rsid w:val="4BCE5FE1"/>
    <w:rsid w:val="4BE21234"/>
    <w:rsid w:val="4BF323F0"/>
    <w:rsid w:val="4BF6694A"/>
    <w:rsid w:val="4BF82992"/>
    <w:rsid w:val="4C365752"/>
    <w:rsid w:val="4C496FDF"/>
    <w:rsid w:val="4C644D03"/>
    <w:rsid w:val="4C9259F8"/>
    <w:rsid w:val="4D0915F6"/>
    <w:rsid w:val="4D1E0CA2"/>
    <w:rsid w:val="4D243B58"/>
    <w:rsid w:val="4D2775A9"/>
    <w:rsid w:val="4D356271"/>
    <w:rsid w:val="4D3E7851"/>
    <w:rsid w:val="4D6D6516"/>
    <w:rsid w:val="4DA94CA4"/>
    <w:rsid w:val="4DAE46C0"/>
    <w:rsid w:val="4DD8070D"/>
    <w:rsid w:val="4DDF1E6B"/>
    <w:rsid w:val="4DE45029"/>
    <w:rsid w:val="4DFE3AD0"/>
    <w:rsid w:val="4E0B10BC"/>
    <w:rsid w:val="4E17070E"/>
    <w:rsid w:val="4E2023DE"/>
    <w:rsid w:val="4E951B25"/>
    <w:rsid w:val="4E99772F"/>
    <w:rsid w:val="4E9A7EF0"/>
    <w:rsid w:val="4E9E410E"/>
    <w:rsid w:val="4EB86410"/>
    <w:rsid w:val="4EBD62AD"/>
    <w:rsid w:val="4ED83851"/>
    <w:rsid w:val="4F0B61CC"/>
    <w:rsid w:val="4F1D340E"/>
    <w:rsid w:val="4F1E6692"/>
    <w:rsid w:val="4F2B4FB7"/>
    <w:rsid w:val="4F3B4631"/>
    <w:rsid w:val="4F3D3224"/>
    <w:rsid w:val="4F5A416D"/>
    <w:rsid w:val="4F8F7BAC"/>
    <w:rsid w:val="4FC20BCB"/>
    <w:rsid w:val="4FCE7A78"/>
    <w:rsid w:val="4FCF44FB"/>
    <w:rsid w:val="4FD447BA"/>
    <w:rsid w:val="500210D5"/>
    <w:rsid w:val="50075394"/>
    <w:rsid w:val="502865A1"/>
    <w:rsid w:val="50315C7D"/>
    <w:rsid w:val="503C6CC7"/>
    <w:rsid w:val="50954982"/>
    <w:rsid w:val="50AD16CE"/>
    <w:rsid w:val="50BD32D4"/>
    <w:rsid w:val="50C00B33"/>
    <w:rsid w:val="50CA726D"/>
    <w:rsid w:val="50E808FB"/>
    <w:rsid w:val="50F90374"/>
    <w:rsid w:val="510B3995"/>
    <w:rsid w:val="511A7602"/>
    <w:rsid w:val="511B1212"/>
    <w:rsid w:val="51205AED"/>
    <w:rsid w:val="512C311E"/>
    <w:rsid w:val="512E77DF"/>
    <w:rsid w:val="513639B9"/>
    <w:rsid w:val="515456AA"/>
    <w:rsid w:val="5170559A"/>
    <w:rsid w:val="51B265E6"/>
    <w:rsid w:val="51D9344D"/>
    <w:rsid w:val="51DA0185"/>
    <w:rsid w:val="51F62FE7"/>
    <w:rsid w:val="52076BDB"/>
    <w:rsid w:val="521D634F"/>
    <w:rsid w:val="52333A80"/>
    <w:rsid w:val="523D3E1D"/>
    <w:rsid w:val="52513D50"/>
    <w:rsid w:val="52926BB5"/>
    <w:rsid w:val="52B416A0"/>
    <w:rsid w:val="52BA05FF"/>
    <w:rsid w:val="52BF0F8F"/>
    <w:rsid w:val="52CD247B"/>
    <w:rsid w:val="52D07DFC"/>
    <w:rsid w:val="52D85B22"/>
    <w:rsid w:val="52E270D2"/>
    <w:rsid w:val="530E7A3E"/>
    <w:rsid w:val="531D6915"/>
    <w:rsid w:val="53371294"/>
    <w:rsid w:val="535756F3"/>
    <w:rsid w:val="536D40AB"/>
    <w:rsid w:val="53C67E78"/>
    <w:rsid w:val="53CB383A"/>
    <w:rsid w:val="53D90105"/>
    <w:rsid w:val="53EA33B2"/>
    <w:rsid w:val="53F0314C"/>
    <w:rsid w:val="53F61000"/>
    <w:rsid w:val="54034952"/>
    <w:rsid w:val="5407700C"/>
    <w:rsid w:val="542C2A9B"/>
    <w:rsid w:val="544F4B33"/>
    <w:rsid w:val="5453351E"/>
    <w:rsid w:val="54702DDF"/>
    <w:rsid w:val="547847A2"/>
    <w:rsid w:val="548A2B1D"/>
    <w:rsid w:val="548A7834"/>
    <w:rsid w:val="54B16088"/>
    <w:rsid w:val="550676D0"/>
    <w:rsid w:val="551057A5"/>
    <w:rsid w:val="5512091C"/>
    <w:rsid w:val="55360192"/>
    <w:rsid w:val="55503878"/>
    <w:rsid w:val="55813678"/>
    <w:rsid w:val="558D3393"/>
    <w:rsid w:val="55A6131C"/>
    <w:rsid w:val="55CC04A8"/>
    <w:rsid w:val="561D5127"/>
    <w:rsid w:val="562E3377"/>
    <w:rsid w:val="5636220D"/>
    <w:rsid w:val="564134F8"/>
    <w:rsid w:val="566E1956"/>
    <w:rsid w:val="567B12AC"/>
    <w:rsid w:val="568433D5"/>
    <w:rsid w:val="56A312F0"/>
    <w:rsid w:val="56C117ED"/>
    <w:rsid w:val="56F1744F"/>
    <w:rsid w:val="56F53E91"/>
    <w:rsid w:val="570850F1"/>
    <w:rsid w:val="57382EA4"/>
    <w:rsid w:val="573909D9"/>
    <w:rsid w:val="573F1FF6"/>
    <w:rsid w:val="57615F47"/>
    <w:rsid w:val="578E2A0F"/>
    <w:rsid w:val="579E213B"/>
    <w:rsid w:val="57C26216"/>
    <w:rsid w:val="57E70C76"/>
    <w:rsid w:val="57ED203B"/>
    <w:rsid w:val="58362770"/>
    <w:rsid w:val="583A26AF"/>
    <w:rsid w:val="586178AE"/>
    <w:rsid w:val="58682D3A"/>
    <w:rsid w:val="586C504F"/>
    <w:rsid w:val="5873338A"/>
    <w:rsid w:val="587D311C"/>
    <w:rsid w:val="58E14320"/>
    <w:rsid w:val="59111E04"/>
    <w:rsid w:val="59300EB6"/>
    <w:rsid w:val="59324D26"/>
    <w:rsid w:val="593F60BF"/>
    <w:rsid w:val="596A5151"/>
    <w:rsid w:val="596C7CE5"/>
    <w:rsid w:val="59700941"/>
    <w:rsid w:val="59756E33"/>
    <w:rsid w:val="59774990"/>
    <w:rsid w:val="59BA0B4F"/>
    <w:rsid w:val="59BA6E46"/>
    <w:rsid w:val="59E91AD3"/>
    <w:rsid w:val="59FA6A50"/>
    <w:rsid w:val="5A265152"/>
    <w:rsid w:val="5A360767"/>
    <w:rsid w:val="5A6B66C3"/>
    <w:rsid w:val="5A744789"/>
    <w:rsid w:val="5A783EF0"/>
    <w:rsid w:val="5A9460B2"/>
    <w:rsid w:val="5A9B7FE6"/>
    <w:rsid w:val="5AAF54B0"/>
    <w:rsid w:val="5ABE0364"/>
    <w:rsid w:val="5ADF6C99"/>
    <w:rsid w:val="5AE06140"/>
    <w:rsid w:val="5AFC0B15"/>
    <w:rsid w:val="5B180743"/>
    <w:rsid w:val="5B3F6C27"/>
    <w:rsid w:val="5B4013D0"/>
    <w:rsid w:val="5B976F44"/>
    <w:rsid w:val="5BC7001D"/>
    <w:rsid w:val="5BCE0EE6"/>
    <w:rsid w:val="5BE02ADC"/>
    <w:rsid w:val="5BF0643A"/>
    <w:rsid w:val="5BF2155F"/>
    <w:rsid w:val="5BFC0C7E"/>
    <w:rsid w:val="5C036FBF"/>
    <w:rsid w:val="5C0E2BEF"/>
    <w:rsid w:val="5C1D6295"/>
    <w:rsid w:val="5C286899"/>
    <w:rsid w:val="5C327F02"/>
    <w:rsid w:val="5C4A2EDB"/>
    <w:rsid w:val="5C505796"/>
    <w:rsid w:val="5C7F5FB9"/>
    <w:rsid w:val="5C85540B"/>
    <w:rsid w:val="5C87360F"/>
    <w:rsid w:val="5CCC2735"/>
    <w:rsid w:val="5CD608BB"/>
    <w:rsid w:val="5CE628AB"/>
    <w:rsid w:val="5CFF1E76"/>
    <w:rsid w:val="5D0001D2"/>
    <w:rsid w:val="5D537B4B"/>
    <w:rsid w:val="5D6214C9"/>
    <w:rsid w:val="5D6D2F67"/>
    <w:rsid w:val="5D735BA4"/>
    <w:rsid w:val="5D9F47C6"/>
    <w:rsid w:val="5DA03770"/>
    <w:rsid w:val="5DC072B6"/>
    <w:rsid w:val="5DF11E1E"/>
    <w:rsid w:val="5E0A226A"/>
    <w:rsid w:val="5E317FF7"/>
    <w:rsid w:val="5E5B7109"/>
    <w:rsid w:val="5ED072A1"/>
    <w:rsid w:val="5EEC278E"/>
    <w:rsid w:val="5F40470D"/>
    <w:rsid w:val="5F4B784B"/>
    <w:rsid w:val="5F695DC8"/>
    <w:rsid w:val="5F6B1C23"/>
    <w:rsid w:val="5F7635F0"/>
    <w:rsid w:val="5F7C1317"/>
    <w:rsid w:val="5F7F03D1"/>
    <w:rsid w:val="5FA5335B"/>
    <w:rsid w:val="5FB330C2"/>
    <w:rsid w:val="5FD61297"/>
    <w:rsid w:val="5FE450E9"/>
    <w:rsid w:val="5FFA4EF1"/>
    <w:rsid w:val="600E6F75"/>
    <w:rsid w:val="604114AB"/>
    <w:rsid w:val="606C2935"/>
    <w:rsid w:val="60B5701E"/>
    <w:rsid w:val="60BF2255"/>
    <w:rsid w:val="60D31125"/>
    <w:rsid w:val="60E1238C"/>
    <w:rsid w:val="611F6B32"/>
    <w:rsid w:val="61417C0F"/>
    <w:rsid w:val="614465BE"/>
    <w:rsid w:val="6152474B"/>
    <w:rsid w:val="616332E6"/>
    <w:rsid w:val="617579AF"/>
    <w:rsid w:val="61950D92"/>
    <w:rsid w:val="619575E8"/>
    <w:rsid w:val="61A867C7"/>
    <w:rsid w:val="61AE217F"/>
    <w:rsid w:val="61CC2371"/>
    <w:rsid w:val="61FC45F4"/>
    <w:rsid w:val="6246661A"/>
    <w:rsid w:val="62643944"/>
    <w:rsid w:val="627611A2"/>
    <w:rsid w:val="62B831F1"/>
    <w:rsid w:val="62C95D47"/>
    <w:rsid w:val="62D74969"/>
    <w:rsid w:val="62DD3FF0"/>
    <w:rsid w:val="62DF70EA"/>
    <w:rsid w:val="62F56D69"/>
    <w:rsid w:val="63000476"/>
    <w:rsid w:val="63595307"/>
    <w:rsid w:val="636129E7"/>
    <w:rsid w:val="638A74E4"/>
    <w:rsid w:val="638D685B"/>
    <w:rsid w:val="63945DDE"/>
    <w:rsid w:val="63D426C4"/>
    <w:rsid w:val="63D66AA7"/>
    <w:rsid w:val="64050660"/>
    <w:rsid w:val="6436457C"/>
    <w:rsid w:val="64687B4C"/>
    <w:rsid w:val="646B6CDF"/>
    <w:rsid w:val="64981B3E"/>
    <w:rsid w:val="649B34B2"/>
    <w:rsid w:val="64CA53DD"/>
    <w:rsid w:val="64DE27D0"/>
    <w:rsid w:val="65147E1F"/>
    <w:rsid w:val="65261ABD"/>
    <w:rsid w:val="6549400F"/>
    <w:rsid w:val="655A4E3B"/>
    <w:rsid w:val="655E39C9"/>
    <w:rsid w:val="65956118"/>
    <w:rsid w:val="65A72621"/>
    <w:rsid w:val="65DE1FD4"/>
    <w:rsid w:val="65ED7273"/>
    <w:rsid w:val="65F82882"/>
    <w:rsid w:val="6618078D"/>
    <w:rsid w:val="661D6F2F"/>
    <w:rsid w:val="664148F8"/>
    <w:rsid w:val="667230E8"/>
    <w:rsid w:val="668C4087"/>
    <w:rsid w:val="66922317"/>
    <w:rsid w:val="66B70B86"/>
    <w:rsid w:val="66BB4458"/>
    <w:rsid w:val="66C530CE"/>
    <w:rsid w:val="66EB3CFE"/>
    <w:rsid w:val="67001538"/>
    <w:rsid w:val="6711272D"/>
    <w:rsid w:val="67154A9E"/>
    <w:rsid w:val="6725393C"/>
    <w:rsid w:val="673A0683"/>
    <w:rsid w:val="673B4C86"/>
    <w:rsid w:val="67843A0A"/>
    <w:rsid w:val="678A1D40"/>
    <w:rsid w:val="67A151DE"/>
    <w:rsid w:val="67A33B87"/>
    <w:rsid w:val="67B104BF"/>
    <w:rsid w:val="67C25572"/>
    <w:rsid w:val="67D322A6"/>
    <w:rsid w:val="67D916D7"/>
    <w:rsid w:val="67E53E97"/>
    <w:rsid w:val="67EF23A5"/>
    <w:rsid w:val="67F012BB"/>
    <w:rsid w:val="67FB0180"/>
    <w:rsid w:val="682A1DC3"/>
    <w:rsid w:val="68331986"/>
    <w:rsid w:val="684764D0"/>
    <w:rsid w:val="68551633"/>
    <w:rsid w:val="685C2539"/>
    <w:rsid w:val="68822279"/>
    <w:rsid w:val="689D28D2"/>
    <w:rsid w:val="68A62C18"/>
    <w:rsid w:val="68AA4457"/>
    <w:rsid w:val="68E47344"/>
    <w:rsid w:val="68FD6439"/>
    <w:rsid w:val="69086E9D"/>
    <w:rsid w:val="694010E2"/>
    <w:rsid w:val="6944194F"/>
    <w:rsid w:val="69754EA1"/>
    <w:rsid w:val="69844B8D"/>
    <w:rsid w:val="6995721A"/>
    <w:rsid w:val="69A17437"/>
    <w:rsid w:val="69B113B4"/>
    <w:rsid w:val="69B76B44"/>
    <w:rsid w:val="69CB3F26"/>
    <w:rsid w:val="6A0F3074"/>
    <w:rsid w:val="6A207DEF"/>
    <w:rsid w:val="6A3642BA"/>
    <w:rsid w:val="6A593A10"/>
    <w:rsid w:val="6A795C8D"/>
    <w:rsid w:val="6A874E47"/>
    <w:rsid w:val="6A914D7F"/>
    <w:rsid w:val="6AA60A5F"/>
    <w:rsid w:val="6AAB4F3B"/>
    <w:rsid w:val="6AB05E52"/>
    <w:rsid w:val="6ABF3899"/>
    <w:rsid w:val="6ACB5CE2"/>
    <w:rsid w:val="6AD73C2D"/>
    <w:rsid w:val="6AFD6011"/>
    <w:rsid w:val="6B014F59"/>
    <w:rsid w:val="6B045967"/>
    <w:rsid w:val="6B07246E"/>
    <w:rsid w:val="6B151EDA"/>
    <w:rsid w:val="6B190F72"/>
    <w:rsid w:val="6B272C52"/>
    <w:rsid w:val="6B3026C7"/>
    <w:rsid w:val="6B3231A8"/>
    <w:rsid w:val="6B3E6131"/>
    <w:rsid w:val="6B9554E8"/>
    <w:rsid w:val="6BBE5043"/>
    <w:rsid w:val="6BBF0C6B"/>
    <w:rsid w:val="6BD64AAC"/>
    <w:rsid w:val="6BE84B6F"/>
    <w:rsid w:val="6BF03863"/>
    <w:rsid w:val="6BF23B28"/>
    <w:rsid w:val="6C1A6EC9"/>
    <w:rsid w:val="6C1A733D"/>
    <w:rsid w:val="6C4327F6"/>
    <w:rsid w:val="6C7644EB"/>
    <w:rsid w:val="6C9A56F3"/>
    <w:rsid w:val="6CA15547"/>
    <w:rsid w:val="6CA63BC7"/>
    <w:rsid w:val="6CB1250A"/>
    <w:rsid w:val="6CB965A9"/>
    <w:rsid w:val="6CBE2B7B"/>
    <w:rsid w:val="6CC51EDF"/>
    <w:rsid w:val="6CCE3222"/>
    <w:rsid w:val="6CD23F2B"/>
    <w:rsid w:val="6CF94D43"/>
    <w:rsid w:val="6D0C18E0"/>
    <w:rsid w:val="6D3D31C1"/>
    <w:rsid w:val="6D406CDD"/>
    <w:rsid w:val="6D524C53"/>
    <w:rsid w:val="6D6C0D35"/>
    <w:rsid w:val="6D8148DD"/>
    <w:rsid w:val="6D9D0F1D"/>
    <w:rsid w:val="6DA6574B"/>
    <w:rsid w:val="6DDB2CEB"/>
    <w:rsid w:val="6DF51BC8"/>
    <w:rsid w:val="6E2839CF"/>
    <w:rsid w:val="6E3B69DA"/>
    <w:rsid w:val="6E435DC3"/>
    <w:rsid w:val="6E5E145B"/>
    <w:rsid w:val="6E716C0E"/>
    <w:rsid w:val="6E994FAC"/>
    <w:rsid w:val="6ED55E76"/>
    <w:rsid w:val="6F0B4008"/>
    <w:rsid w:val="6F2B6BEB"/>
    <w:rsid w:val="6F65337D"/>
    <w:rsid w:val="6F971E7D"/>
    <w:rsid w:val="6FE345C9"/>
    <w:rsid w:val="703647D1"/>
    <w:rsid w:val="70403186"/>
    <w:rsid w:val="70545C90"/>
    <w:rsid w:val="706053CF"/>
    <w:rsid w:val="706E6981"/>
    <w:rsid w:val="708D6428"/>
    <w:rsid w:val="709E40DA"/>
    <w:rsid w:val="70ED7AAC"/>
    <w:rsid w:val="70F905EB"/>
    <w:rsid w:val="71181574"/>
    <w:rsid w:val="71334339"/>
    <w:rsid w:val="71974485"/>
    <w:rsid w:val="719F09D8"/>
    <w:rsid w:val="71A65BF0"/>
    <w:rsid w:val="71B606E2"/>
    <w:rsid w:val="71C43ECE"/>
    <w:rsid w:val="71C7692D"/>
    <w:rsid w:val="71DD3B8D"/>
    <w:rsid w:val="71E94685"/>
    <w:rsid w:val="72050CE7"/>
    <w:rsid w:val="72064735"/>
    <w:rsid w:val="721640A6"/>
    <w:rsid w:val="721909B0"/>
    <w:rsid w:val="722C74F5"/>
    <w:rsid w:val="726A1D8E"/>
    <w:rsid w:val="72842EFC"/>
    <w:rsid w:val="72843B42"/>
    <w:rsid w:val="729A6FC0"/>
    <w:rsid w:val="72A10F88"/>
    <w:rsid w:val="72A20D24"/>
    <w:rsid w:val="72BA6EC0"/>
    <w:rsid w:val="72BE6F17"/>
    <w:rsid w:val="72DC5C88"/>
    <w:rsid w:val="72F47020"/>
    <w:rsid w:val="730E4FDA"/>
    <w:rsid w:val="73550D6E"/>
    <w:rsid w:val="736A5BE0"/>
    <w:rsid w:val="737F60C7"/>
    <w:rsid w:val="73A953A6"/>
    <w:rsid w:val="73D11C4C"/>
    <w:rsid w:val="73D73DA5"/>
    <w:rsid w:val="74062EB8"/>
    <w:rsid w:val="740B6866"/>
    <w:rsid w:val="7424408F"/>
    <w:rsid w:val="743F5CD7"/>
    <w:rsid w:val="74901B47"/>
    <w:rsid w:val="74972925"/>
    <w:rsid w:val="74EA44CD"/>
    <w:rsid w:val="74F35274"/>
    <w:rsid w:val="75141D39"/>
    <w:rsid w:val="75177BC3"/>
    <w:rsid w:val="753F540F"/>
    <w:rsid w:val="75427920"/>
    <w:rsid w:val="755551E5"/>
    <w:rsid w:val="75565006"/>
    <w:rsid w:val="758260A7"/>
    <w:rsid w:val="75857EC7"/>
    <w:rsid w:val="75A070A6"/>
    <w:rsid w:val="75E70856"/>
    <w:rsid w:val="761F738A"/>
    <w:rsid w:val="762A25B6"/>
    <w:rsid w:val="76392BC8"/>
    <w:rsid w:val="76510E15"/>
    <w:rsid w:val="766E548D"/>
    <w:rsid w:val="76794693"/>
    <w:rsid w:val="769C1A32"/>
    <w:rsid w:val="76CA2947"/>
    <w:rsid w:val="77157748"/>
    <w:rsid w:val="773170C5"/>
    <w:rsid w:val="77333E7E"/>
    <w:rsid w:val="77353FD8"/>
    <w:rsid w:val="77737448"/>
    <w:rsid w:val="777C5F64"/>
    <w:rsid w:val="77A7081B"/>
    <w:rsid w:val="77A806AA"/>
    <w:rsid w:val="77B16396"/>
    <w:rsid w:val="77D14A0F"/>
    <w:rsid w:val="7826690D"/>
    <w:rsid w:val="783F3D8A"/>
    <w:rsid w:val="784720D1"/>
    <w:rsid w:val="78556100"/>
    <w:rsid w:val="786E25CC"/>
    <w:rsid w:val="7883323D"/>
    <w:rsid w:val="78A07664"/>
    <w:rsid w:val="78A572A2"/>
    <w:rsid w:val="78A9143C"/>
    <w:rsid w:val="78B14189"/>
    <w:rsid w:val="78FA5F4B"/>
    <w:rsid w:val="793F5976"/>
    <w:rsid w:val="79415BEF"/>
    <w:rsid w:val="796709A8"/>
    <w:rsid w:val="796921A1"/>
    <w:rsid w:val="798D3FBE"/>
    <w:rsid w:val="79F72C26"/>
    <w:rsid w:val="7A056107"/>
    <w:rsid w:val="7A066173"/>
    <w:rsid w:val="7A077DA7"/>
    <w:rsid w:val="7A166E1F"/>
    <w:rsid w:val="7A36479D"/>
    <w:rsid w:val="7A636660"/>
    <w:rsid w:val="7A6C408D"/>
    <w:rsid w:val="7A7F00DF"/>
    <w:rsid w:val="7A9623DE"/>
    <w:rsid w:val="7AC11560"/>
    <w:rsid w:val="7AC377E8"/>
    <w:rsid w:val="7ADD113B"/>
    <w:rsid w:val="7B2C5FEC"/>
    <w:rsid w:val="7B2E0E92"/>
    <w:rsid w:val="7B365745"/>
    <w:rsid w:val="7B6074AA"/>
    <w:rsid w:val="7B6E4ECE"/>
    <w:rsid w:val="7B711701"/>
    <w:rsid w:val="7B7D3FBA"/>
    <w:rsid w:val="7B843B27"/>
    <w:rsid w:val="7B89769A"/>
    <w:rsid w:val="7B9277F2"/>
    <w:rsid w:val="7B947330"/>
    <w:rsid w:val="7BB869C4"/>
    <w:rsid w:val="7BCD06DD"/>
    <w:rsid w:val="7BDF65FD"/>
    <w:rsid w:val="7BE33F87"/>
    <w:rsid w:val="7C006FC3"/>
    <w:rsid w:val="7C101822"/>
    <w:rsid w:val="7C102586"/>
    <w:rsid w:val="7C1A404C"/>
    <w:rsid w:val="7C481495"/>
    <w:rsid w:val="7C586BDB"/>
    <w:rsid w:val="7C8A731D"/>
    <w:rsid w:val="7CA161EB"/>
    <w:rsid w:val="7CB743F1"/>
    <w:rsid w:val="7CC07FD9"/>
    <w:rsid w:val="7CE14210"/>
    <w:rsid w:val="7D0728B3"/>
    <w:rsid w:val="7D15004B"/>
    <w:rsid w:val="7D6019C7"/>
    <w:rsid w:val="7D6775E1"/>
    <w:rsid w:val="7D6E00FF"/>
    <w:rsid w:val="7D8728F5"/>
    <w:rsid w:val="7D8F1A50"/>
    <w:rsid w:val="7D902C95"/>
    <w:rsid w:val="7D947527"/>
    <w:rsid w:val="7D9A71D8"/>
    <w:rsid w:val="7DA30E82"/>
    <w:rsid w:val="7DCD55C2"/>
    <w:rsid w:val="7DD657B1"/>
    <w:rsid w:val="7DE678AA"/>
    <w:rsid w:val="7DF92D52"/>
    <w:rsid w:val="7E091411"/>
    <w:rsid w:val="7E4B7727"/>
    <w:rsid w:val="7EA87F87"/>
    <w:rsid w:val="7EA96857"/>
    <w:rsid w:val="7EB561AE"/>
    <w:rsid w:val="7ECF647F"/>
    <w:rsid w:val="7EE320C3"/>
    <w:rsid w:val="7EF6688F"/>
    <w:rsid w:val="7EF94698"/>
    <w:rsid w:val="7F0B0214"/>
    <w:rsid w:val="7F1B0D3C"/>
    <w:rsid w:val="7F1F24B2"/>
    <w:rsid w:val="7F320283"/>
    <w:rsid w:val="7F457A43"/>
    <w:rsid w:val="7F553D6B"/>
    <w:rsid w:val="7F87618E"/>
    <w:rsid w:val="7F9C26B0"/>
    <w:rsid w:val="7F9E4977"/>
    <w:rsid w:val="7FC36351"/>
    <w:rsid w:val="7FC753DA"/>
    <w:rsid w:val="7FCD2CCB"/>
    <w:rsid w:val="7FF42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rFonts w:eastAsia="黑体"/>
      <w:b/>
      <w:bCs/>
      <w:kern w:val="44"/>
      <w:sz w:val="32"/>
      <w:szCs w:val="44"/>
    </w:rPr>
  </w:style>
  <w:style w:type="paragraph" w:styleId="4">
    <w:name w:val="heading 2"/>
    <w:basedOn w:val="1"/>
    <w:next w:val="1"/>
    <w:unhideWhenUsed/>
    <w:qFormat/>
    <w:uiPriority w:val="9"/>
    <w:pPr>
      <w:keepNext/>
      <w:keepLines/>
      <w:spacing w:before="260" w:after="260" w:line="416" w:lineRule="auto"/>
      <w:ind w:left="210" w:leftChars="100" w:right="210" w:rightChars="100"/>
      <w:outlineLvl w:val="1"/>
    </w:pPr>
    <w:rPr>
      <w:rFonts w:ascii="仿宋_GB2312" w:eastAsia="楷体_GB2312" w:hAnsiTheme="majorHAnsi" w:cstheme="majorBidi"/>
      <w:b/>
      <w:bCs/>
      <w:sz w:val="30"/>
      <w:szCs w:val="32"/>
    </w:rPr>
  </w:style>
  <w:style w:type="paragraph" w:styleId="5">
    <w:name w:val="heading 3"/>
    <w:basedOn w:val="1"/>
    <w:next w:val="1"/>
    <w:unhideWhenUsed/>
    <w:qFormat/>
    <w:uiPriority w:val="0"/>
    <w:pPr>
      <w:keepNext/>
      <w:keepLines/>
      <w:spacing w:before="260" w:after="260" w:line="413" w:lineRule="auto"/>
      <w:outlineLvl w:val="2"/>
    </w:pPr>
    <w:rPr>
      <w:b/>
      <w:sz w:val="32"/>
    </w:rPr>
  </w:style>
  <w:style w:type="character" w:default="1" w:styleId="27">
    <w:name w:val="Default Paragraph Font"/>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0"/>
    <w:pPr>
      <w:ind w:firstLine="420" w:firstLineChars="200"/>
    </w:pPr>
    <w:rPr>
      <w:rFonts w:ascii="Calibri" w:hAnsi="Calibri"/>
    </w:rPr>
  </w:style>
  <w:style w:type="paragraph" w:styleId="6">
    <w:name w:val="Normal Indent"/>
    <w:basedOn w:val="1"/>
    <w:autoRedefine/>
    <w:qFormat/>
    <w:uiPriority w:val="0"/>
    <w:pPr>
      <w:ind w:firstLine="420"/>
    </w:pPr>
    <w:rPr>
      <w:rFonts w:ascii="Calibri" w:hAnsi="Calibri"/>
    </w:rPr>
  </w:style>
  <w:style w:type="paragraph" w:styleId="7">
    <w:name w:val="caption"/>
    <w:basedOn w:val="1"/>
    <w:next w:val="1"/>
    <w:autoRedefine/>
    <w:semiHidden/>
    <w:unhideWhenUsed/>
    <w:qFormat/>
    <w:uiPriority w:val="0"/>
    <w:rPr>
      <w:rFonts w:ascii="Arial" w:hAnsi="Arial" w:eastAsia="黑体"/>
      <w:sz w:val="20"/>
    </w:rPr>
  </w:style>
  <w:style w:type="paragraph" w:styleId="8">
    <w:name w:val="toa heading"/>
    <w:basedOn w:val="1"/>
    <w:next w:val="1"/>
    <w:autoRedefine/>
    <w:qFormat/>
    <w:uiPriority w:val="99"/>
    <w:pPr>
      <w:spacing w:before="120"/>
    </w:pPr>
    <w:rPr>
      <w:rFonts w:ascii="Arial" w:hAnsi="Arial" w:cs="Arial"/>
      <w:sz w:val="24"/>
    </w:rPr>
  </w:style>
  <w:style w:type="paragraph" w:styleId="9">
    <w:name w:val="annotation text"/>
    <w:basedOn w:val="1"/>
    <w:link w:val="64"/>
    <w:autoRedefine/>
    <w:qFormat/>
    <w:uiPriority w:val="0"/>
    <w:pPr>
      <w:jc w:val="left"/>
    </w:pPr>
  </w:style>
  <w:style w:type="paragraph" w:styleId="10">
    <w:name w:val="Body Text"/>
    <w:basedOn w:val="1"/>
    <w:autoRedefine/>
    <w:unhideWhenUsed/>
    <w:qFormat/>
    <w:uiPriority w:val="99"/>
    <w:pPr>
      <w:spacing w:after="120"/>
    </w:pPr>
  </w:style>
  <w:style w:type="paragraph" w:styleId="11">
    <w:name w:val="Body Text Indent"/>
    <w:basedOn w:val="1"/>
    <w:autoRedefine/>
    <w:qFormat/>
    <w:uiPriority w:val="0"/>
    <w:pPr>
      <w:spacing w:after="120"/>
      <w:ind w:left="420" w:leftChars="200"/>
    </w:pPr>
  </w:style>
  <w:style w:type="paragraph" w:styleId="12">
    <w:name w:val="toc 3"/>
    <w:basedOn w:val="1"/>
    <w:next w:val="1"/>
    <w:autoRedefine/>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13">
    <w:name w:val="Plain Text"/>
    <w:basedOn w:val="1"/>
    <w:autoRedefine/>
    <w:qFormat/>
    <w:uiPriority w:val="0"/>
    <w:rPr>
      <w:rFonts w:hint="eastAsia" w:hAnsi="Courier New"/>
    </w:rPr>
  </w:style>
  <w:style w:type="paragraph" w:styleId="14">
    <w:name w:val="Body Text Indent 2"/>
    <w:basedOn w:val="1"/>
    <w:next w:val="15"/>
    <w:qFormat/>
    <w:uiPriority w:val="0"/>
    <w:pPr>
      <w:spacing w:line="480" w:lineRule="auto"/>
      <w:ind w:left="420" w:leftChars="200"/>
    </w:pPr>
  </w:style>
  <w:style w:type="paragraph" w:customStyle="1" w:styleId="15">
    <w:name w:val="reader-word-layer reader-word-s46-2"/>
    <w:basedOn w:val="1"/>
    <w:next w:val="16"/>
    <w:autoRedefine/>
    <w:qFormat/>
    <w:uiPriority w:val="0"/>
    <w:pPr>
      <w:widowControl/>
      <w:spacing w:before="280" w:after="280"/>
    </w:pPr>
    <w:rPr>
      <w:rFonts w:ascii="宋体"/>
      <w:sz w:val="24"/>
    </w:rPr>
  </w:style>
  <w:style w:type="paragraph" w:customStyle="1" w:styleId="16">
    <w:name w:val="xl35"/>
    <w:basedOn w:val="1"/>
    <w:next w:val="1"/>
    <w:autoRedefine/>
    <w:qFormat/>
    <w:uiPriority w:val="0"/>
    <w:pPr>
      <w:widowControl/>
      <w:shd w:val="clear" w:color="FFFFFF" w:fill="FFFFFF"/>
      <w:spacing w:before="280" w:after="280"/>
    </w:pPr>
    <w:rPr>
      <w:rFonts w:ascii="Arial Unicode MS" w:eastAsia="Arial Unicode MS"/>
      <w:sz w:val="24"/>
    </w:rPr>
  </w:style>
  <w:style w:type="paragraph" w:styleId="17">
    <w:name w:val="Balloon Text"/>
    <w:basedOn w:val="1"/>
    <w:link w:val="58"/>
    <w:autoRedefine/>
    <w:qFormat/>
    <w:uiPriority w:val="0"/>
    <w:rPr>
      <w:sz w:val="18"/>
      <w:szCs w:val="18"/>
    </w:rPr>
  </w:style>
  <w:style w:type="paragraph" w:styleId="18">
    <w:name w:val="footer"/>
    <w:basedOn w:val="1"/>
    <w:link w:val="63"/>
    <w:autoRedefine/>
    <w:qFormat/>
    <w:uiPriority w:val="99"/>
    <w:pPr>
      <w:tabs>
        <w:tab w:val="center" w:pos="4153"/>
        <w:tab w:val="right" w:pos="8306"/>
      </w:tabs>
      <w:snapToGrid w:val="0"/>
      <w:jc w:val="left"/>
    </w:pPr>
    <w:rPr>
      <w:sz w:val="18"/>
    </w:rPr>
  </w:style>
  <w:style w:type="paragraph" w:styleId="19">
    <w:name w:val="header"/>
    <w:basedOn w:val="1"/>
    <w:link w:val="62"/>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0">
    <w:name w:val="toc 1"/>
    <w:basedOn w:val="1"/>
    <w:next w:val="1"/>
    <w:autoRedefine/>
    <w:unhideWhenUsed/>
    <w:qFormat/>
    <w:uiPriority w:val="39"/>
    <w:pPr>
      <w:tabs>
        <w:tab w:val="right" w:leader="dot" w:pos="8296"/>
      </w:tabs>
    </w:pPr>
    <w:rPr>
      <w:rFonts w:ascii="黑体" w:hAnsi="黑体" w:eastAsia="黑体"/>
      <w:sz w:val="30"/>
      <w:szCs w:val="30"/>
    </w:rPr>
  </w:style>
  <w:style w:type="paragraph" w:styleId="21">
    <w:name w:val="toc 2"/>
    <w:basedOn w:val="1"/>
    <w:next w:val="1"/>
    <w:autoRedefine/>
    <w:unhideWhenUsed/>
    <w:qFormat/>
    <w:uiPriority w:val="39"/>
    <w:pPr>
      <w:tabs>
        <w:tab w:val="right" w:leader="dot" w:pos="8296"/>
      </w:tabs>
      <w:ind w:left="420" w:leftChars="200"/>
    </w:pPr>
    <w:rPr>
      <w:rFonts w:ascii="楷体_GB2312" w:hAnsi="楷体" w:eastAsia="楷体_GB2312"/>
      <w:sz w:val="30"/>
      <w:szCs w:val="30"/>
    </w:rPr>
  </w:style>
  <w:style w:type="paragraph" w:styleId="22">
    <w:name w:val="Normal (Web)"/>
    <w:basedOn w:val="1"/>
    <w:autoRedefine/>
    <w:qFormat/>
    <w:uiPriority w:val="0"/>
    <w:pPr>
      <w:jc w:val="left"/>
    </w:pPr>
    <w:rPr>
      <w:kern w:val="0"/>
      <w:sz w:val="24"/>
    </w:rPr>
  </w:style>
  <w:style w:type="paragraph" w:styleId="23">
    <w:name w:val="annotation subject"/>
    <w:basedOn w:val="9"/>
    <w:next w:val="9"/>
    <w:link w:val="65"/>
    <w:autoRedefine/>
    <w:qFormat/>
    <w:uiPriority w:val="0"/>
    <w:rPr>
      <w:b/>
      <w:bCs/>
    </w:rPr>
  </w:style>
  <w:style w:type="paragraph" w:styleId="24">
    <w:name w:val="Body Text First Indent"/>
    <w:basedOn w:val="10"/>
    <w:qFormat/>
    <w:uiPriority w:val="0"/>
    <w:pPr>
      <w:ind w:firstLine="420" w:firstLineChars="100"/>
    </w:pPr>
  </w:style>
  <w:style w:type="table" w:styleId="26">
    <w:name w:val="Table Grid"/>
    <w:basedOn w:val="2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rPr>
  </w:style>
  <w:style w:type="character" w:styleId="29">
    <w:name w:val="FollowedHyperlink"/>
    <w:basedOn w:val="27"/>
    <w:autoRedefine/>
    <w:qFormat/>
    <w:uiPriority w:val="0"/>
    <w:rPr>
      <w:color w:val="535353"/>
      <w:u w:val="none"/>
    </w:rPr>
  </w:style>
  <w:style w:type="character" w:styleId="30">
    <w:name w:val="Emphasis"/>
    <w:basedOn w:val="27"/>
    <w:qFormat/>
    <w:uiPriority w:val="0"/>
  </w:style>
  <w:style w:type="character" w:styleId="31">
    <w:name w:val="HTML Definition"/>
    <w:basedOn w:val="27"/>
    <w:qFormat/>
    <w:uiPriority w:val="0"/>
  </w:style>
  <w:style w:type="character" w:styleId="32">
    <w:name w:val="HTML Acronym"/>
    <w:basedOn w:val="27"/>
    <w:qFormat/>
    <w:uiPriority w:val="0"/>
  </w:style>
  <w:style w:type="character" w:styleId="33">
    <w:name w:val="HTML Variable"/>
    <w:basedOn w:val="27"/>
    <w:qFormat/>
    <w:uiPriority w:val="0"/>
    <w:rPr>
      <w:shd w:val="clear" w:color="auto" w:fill="D2D2D2"/>
    </w:rPr>
  </w:style>
  <w:style w:type="character" w:styleId="34">
    <w:name w:val="Hyperlink"/>
    <w:basedOn w:val="27"/>
    <w:unhideWhenUsed/>
    <w:qFormat/>
    <w:uiPriority w:val="99"/>
    <w:rPr>
      <w:color w:val="0563C1" w:themeColor="hyperlink"/>
      <w:u w:val="single"/>
      <w14:textFill>
        <w14:solidFill>
          <w14:schemeClr w14:val="hlink"/>
        </w14:solidFill>
      </w14:textFill>
    </w:rPr>
  </w:style>
  <w:style w:type="character" w:styleId="35">
    <w:name w:val="HTML Code"/>
    <w:basedOn w:val="27"/>
    <w:qFormat/>
    <w:uiPriority w:val="0"/>
    <w:rPr>
      <w:rFonts w:ascii="Courier New" w:hAnsi="Courier New"/>
      <w:sz w:val="20"/>
      <w:u w:val="none"/>
    </w:rPr>
  </w:style>
  <w:style w:type="character" w:styleId="36">
    <w:name w:val="annotation reference"/>
    <w:basedOn w:val="27"/>
    <w:qFormat/>
    <w:uiPriority w:val="0"/>
    <w:rPr>
      <w:sz w:val="21"/>
      <w:szCs w:val="21"/>
    </w:rPr>
  </w:style>
  <w:style w:type="character" w:styleId="37">
    <w:name w:val="HTML Cite"/>
    <w:basedOn w:val="27"/>
    <w:qFormat/>
    <w:uiPriority w:val="0"/>
  </w:style>
  <w:style w:type="paragraph" w:customStyle="1" w:styleId="38">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paragraph" w:customStyle="1" w:styleId="39">
    <w:name w:val="正文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40">
    <w:name w:val="font31"/>
    <w:basedOn w:val="27"/>
    <w:autoRedefine/>
    <w:qFormat/>
    <w:uiPriority w:val="0"/>
    <w:rPr>
      <w:rFonts w:hint="eastAsia" w:ascii="宋体" w:hAnsi="宋体" w:eastAsia="宋体" w:cs="宋体"/>
      <w:color w:val="000000"/>
      <w:sz w:val="24"/>
      <w:szCs w:val="24"/>
    </w:rPr>
  </w:style>
  <w:style w:type="paragraph" w:customStyle="1" w:styleId="41">
    <w:name w:val="样式 标题 2 + 楷体_GB2312 段前: 0 磅 段后: 0 磅 行距: 固定值 29 磅"/>
    <w:basedOn w:val="4"/>
    <w:qFormat/>
    <w:uiPriority w:val="0"/>
    <w:pPr>
      <w:spacing w:before="0" w:after="0" w:line="580" w:lineRule="exact"/>
      <w:ind w:firstLine="630" w:firstLineChars="196"/>
    </w:pPr>
    <w:rPr>
      <w:rFonts w:ascii="楷体_GB2312" w:hAnsi="楷体_GB2312" w:cs="宋体"/>
      <w:szCs w:val="20"/>
    </w:rPr>
  </w:style>
  <w:style w:type="paragraph" w:customStyle="1" w:styleId="42">
    <w:name w:val="阳江 正文"/>
    <w:basedOn w:val="1"/>
    <w:qFormat/>
    <w:uiPriority w:val="0"/>
    <w:pPr>
      <w:spacing w:afterLines="50" w:line="336" w:lineRule="auto"/>
      <w:ind w:firstLine="420"/>
    </w:pPr>
    <w:rPr>
      <w:sz w:val="24"/>
    </w:rPr>
  </w:style>
  <w:style w:type="paragraph" w:customStyle="1" w:styleId="43">
    <w:name w:val="3级"/>
    <w:basedOn w:val="1"/>
    <w:qFormat/>
    <w:uiPriority w:val="0"/>
    <w:pPr>
      <w:spacing w:line="480" w:lineRule="auto"/>
      <w:ind w:firstLine="600" w:firstLineChars="200"/>
      <w:outlineLvl w:val="2"/>
    </w:pPr>
    <w:rPr>
      <w:rFonts w:ascii="楷体" w:hAnsi="楷体" w:eastAsia="楷体" w:cs="楷体"/>
      <w:sz w:val="30"/>
      <w:szCs w:val="30"/>
    </w:rPr>
  </w:style>
  <w:style w:type="paragraph" w:customStyle="1" w:styleId="44">
    <w:name w:val="WPSOffice手动目录 1"/>
    <w:autoRedefine/>
    <w:qFormat/>
    <w:uiPriority w:val="0"/>
    <w:rPr>
      <w:rFonts w:ascii="Times New Roman" w:hAnsi="Times New Roman" w:eastAsia="宋体" w:cs="Times New Roman"/>
      <w:lang w:val="en-US" w:eastAsia="zh-CN" w:bidi="ar-SA"/>
    </w:rPr>
  </w:style>
  <w:style w:type="paragraph" w:customStyle="1" w:styleId="4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47">
    <w:name w:val="列表段落1"/>
    <w:basedOn w:val="1"/>
    <w:qFormat/>
    <w:uiPriority w:val="0"/>
    <w:pPr>
      <w:ind w:firstLine="420" w:firstLineChars="200"/>
    </w:pPr>
    <w:rPr>
      <w:rFonts w:ascii="Calibri" w:hAnsi="Calibri" w:cs="宋体"/>
    </w:rPr>
  </w:style>
  <w:style w:type="paragraph" w:customStyle="1" w:styleId="48">
    <w:name w:val="正"/>
    <w:basedOn w:val="1"/>
    <w:autoRedefine/>
    <w:qFormat/>
    <w:uiPriority w:val="0"/>
    <w:pPr>
      <w:spacing w:line="360" w:lineRule="auto"/>
      <w:ind w:firstLine="200" w:firstLineChars="200"/>
    </w:pPr>
    <w:rPr>
      <w:rFonts w:eastAsia="仿宋_GB2312"/>
      <w:kern w:val="0"/>
      <w:sz w:val="32"/>
      <w:szCs w:val="20"/>
      <w:lang w:val="zh-CN"/>
    </w:rPr>
  </w:style>
  <w:style w:type="paragraph" w:customStyle="1" w:styleId="49">
    <w:name w:val="第三级标题"/>
    <w:basedOn w:val="1"/>
    <w:next w:val="48"/>
    <w:autoRedefine/>
    <w:qFormat/>
    <w:uiPriority w:val="99"/>
    <w:pPr>
      <w:spacing w:before="100" w:beforeAutospacing="1" w:after="100" w:afterAutospacing="1"/>
      <w:ind w:firstLine="200" w:firstLineChars="200"/>
      <w:outlineLvl w:val="2"/>
    </w:pPr>
    <w:rPr>
      <w:rFonts w:eastAsia="楷体"/>
      <w:b/>
      <w:kern w:val="0"/>
      <w:sz w:val="32"/>
      <w:szCs w:val="32"/>
    </w:rPr>
  </w:style>
  <w:style w:type="paragraph" w:customStyle="1" w:styleId="5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1">
    <w:name w:val="阳东正文"/>
    <w:basedOn w:val="1"/>
    <w:qFormat/>
    <w:uiPriority w:val="0"/>
    <w:pPr>
      <w:adjustRightInd w:val="0"/>
      <w:snapToGrid w:val="0"/>
      <w:spacing w:line="600" w:lineRule="exact"/>
      <w:ind w:firstLine="200" w:firstLineChars="200"/>
    </w:pPr>
    <w:rPr>
      <w:rFonts w:ascii="仿宋_GB2312" w:eastAsia="仿宋_GB2312"/>
      <w:sz w:val="30"/>
      <w:szCs w:val="30"/>
    </w:rPr>
  </w:style>
  <w:style w:type="paragraph" w:styleId="52">
    <w:name w:val="List Paragraph"/>
    <w:basedOn w:val="1"/>
    <w:qFormat/>
    <w:uiPriority w:val="99"/>
    <w:pPr>
      <w:ind w:firstLine="420" w:firstLineChars="200"/>
    </w:pPr>
  </w:style>
  <w:style w:type="paragraph" w:customStyle="1" w:styleId="53">
    <w:name w:val="正文1"/>
    <w:qFormat/>
    <w:uiPriority w:val="0"/>
    <w:pPr>
      <w:jc w:val="both"/>
    </w:pPr>
    <w:rPr>
      <w:rFonts w:ascii="Calibri" w:hAnsi="Calibri" w:eastAsia="宋体" w:cs="Calibri"/>
      <w:kern w:val="2"/>
      <w:sz w:val="21"/>
      <w:szCs w:val="21"/>
      <w:lang w:val="en-US" w:eastAsia="zh-CN" w:bidi="ar-SA"/>
    </w:rPr>
  </w:style>
  <w:style w:type="table" w:customStyle="1" w:styleId="54">
    <w:name w:val="网格型1"/>
    <w:basedOn w:val="2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2"/>
    <w:basedOn w:val="2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
    <w:name w:val="curre"/>
    <w:basedOn w:val="27"/>
    <w:autoRedefine/>
    <w:qFormat/>
    <w:uiPriority w:val="0"/>
    <w:rPr>
      <w:color w:val="FFFFFF"/>
      <w:shd w:val="clear" w:color="auto" w:fill="2F6EA2"/>
    </w:rPr>
  </w:style>
  <w:style w:type="character" w:customStyle="1" w:styleId="57">
    <w:name w:val="NormalCharacter"/>
    <w:qFormat/>
    <w:uiPriority w:val="0"/>
    <w:rPr>
      <w:kern w:val="2"/>
      <w:sz w:val="21"/>
      <w:szCs w:val="24"/>
      <w:lang w:val="en-US" w:eastAsia="zh-CN" w:bidi="ar-SA"/>
    </w:rPr>
  </w:style>
  <w:style w:type="character" w:customStyle="1" w:styleId="58">
    <w:name w:val="批注框文本 字符"/>
    <w:basedOn w:val="27"/>
    <w:link w:val="17"/>
    <w:autoRedefine/>
    <w:qFormat/>
    <w:uiPriority w:val="0"/>
    <w:rPr>
      <w:kern w:val="2"/>
      <w:sz w:val="18"/>
      <w:szCs w:val="18"/>
    </w:rPr>
  </w:style>
  <w:style w:type="paragraph" w:customStyle="1" w:styleId="59">
    <w:name w:val="样式1"/>
    <w:autoRedefine/>
    <w:qFormat/>
    <w:uiPriority w:val="0"/>
    <w:pPr>
      <w:widowControl w:val="0"/>
      <w:ind w:firstLine="708" w:firstLineChars="236"/>
      <w:jc w:val="both"/>
    </w:pPr>
    <w:rPr>
      <w:rFonts w:ascii="Times New Roman" w:hAnsi="Times New Roman" w:eastAsia="宋体" w:cs="宋体"/>
      <w:kern w:val="2"/>
      <w:sz w:val="30"/>
      <w:szCs w:val="30"/>
      <w:lang w:val="en-US" w:eastAsia="zh-CN" w:bidi="ar-SA"/>
    </w:rPr>
  </w:style>
  <w:style w:type="paragraph" w:customStyle="1" w:styleId="60">
    <w:name w:val="TOC2"/>
    <w:next w:val="1"/>
    <w:qFormat/>
    <w:uiPriority w:val="99"/>
    <w:pPr>
      <w:widowControl w:val="0"/>
      <w:ind w:left="420" w:leftChars="200"/>
      <w:jc w:val="both"/>
    </w:pPr>
    <w:rPr>
      <w:rFonts w:ascii="Times New Roman" w:hAnsi="Times New Roman" w:eastAsia="宋体" w:cs="Times New Roman"/>
      <w:kern w:val="2"/>
      <w:sz w:val="21"/>
      <w:szCs w:val="21"/>
      <w:lang w:val="en-US" w:eastAsia="zh-CN" w:bidi="ar-SA"/>
    </w:rPr>
  </w:style>
  <w:style w:type="paragraph" w:customStyle="1" w:styleId="61">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62">
    <w:name w:val="页眉 字符"/>
    <w:basedOn w:val="27"/>
    <w:link w:val="19"/>
    <w:autoRedefine/>
    <w:qFormat/>
    <w:uiPriority w:val="99"/>
    <w:rPr>
      <w:kern w:val="2"/>
      <w:sz w:val="18"/>
      <w:szCs w:val="24"/>
    </w:rPr>
  </w:style>
  <w:style w:type="character" w:customStyle="1" w:styleId="63">
    <w:name w:val="页脚 字符"/>
    <w:basedOn w:val="27"/>
    <w:link w:val="18"/>
    <w:autoRedefine/>
    <w:qFormat/>
    <w:uiPriority w:val="99"/>
    <w:rPr>
      <w:kern w:val="2"/>
      <w:sz w:val="18"/>
      <w:szCs w:val="24"/>
    </w:rPr>
  </w:style>
  <w:style w:type="character" w:customStyle="1" w:styleId="64">
    <w:name w:val="批注文字 字符"/>
    <w:basedOn w:val="27"/>
    <w:link w:val="9"/>
    <w:autoRedefine/>
    <w:qFormat/>
    <w:uiPriority w:val="0"/>
    <w:rPr>
      <w:kern w:val="2"/>
      <w:sz w:val="21"/>
      <w:szCs w:val="24"/>
    </w:rPr>
  </w:style>
  <w:style w:type="character" w:customStyle="1" w:styleId="65">
    <w:name w:val="批注主题 字符"/>
    <w:basedOn w:val="64"/>
    <w:link w:val="23"/>
    <w:qFormat/>
    <w:uiPriority w:val="0"/>
    <w:rPr>
      <w:b/>
      <w:bCs/>
      <w:kern w:val="2"/>
      <w:sz w:val="21"/>
      <w:szCs w:val="24"/>
    </w:rPr>
  </w:style>
  <w:style w:type="character" w:customStyle="1" w:styleId="66">
    <w:name w:val="font11"/>
    <w:basedOn w:val="27"/>
    <w:qFormat/>
    <w:uiPriority w:val="0"/>
    <w:rPr>
      <w:rFonts w:hint="eastAsia" w:ascii="宋体" w:hAnsi="宋体" w:eastAsia="宋体" w:cs="宋体"/>
      <w:color w:val="000000"/>
      <w:sz w:val="22"/>
      <w:szCs w:val="22"/>
      <w:u w:val="none"/>
    </w:rPr>
  </w:style>
  <w:style w:type="character" w:customStyle="1" w:styleId="67">
    <w:name w:val="font21"/>
    <w:basedOn w:val="27"/>
    <w:qFormat/>
    <w:uiPriority w:val="0"/>
    <w:rPr>
      <w:rFonts w:hint="eastAsia" w:ascii="仿宋" w:hAnsi="仿宋" w:eastAsia="仿宋" w:cs="仿宋"/>
      <w:color w:val="000000"/>
      <w:sz w:val="22"/>
      <w:szCs w:val="22"/>
      <w:u w:val="none"/>
    </w:rPr>
  </w:style>
  <w:style w:type="character" w:customStyle="1" w:styleId="68">
    <w:name w:val="font01"/>
    <w:basedOn w:val="27"/>
    <w:qFormat/>
    <w:uiPriority w:val="0"/>
    <w:rPr>
      <w:rFonts w:hint="eastAsia" w:ascii="宋体" w:hAnsi="宋体" w:eastAsia="宋体" w:cs="宋体"/>
      <w:color w:val="000000"/>
      <w:sz w:val="22"/>
      <w:szCs w:val="22"/>
      <w:u w:val="none"/>
    </w:rPr>
  </w:style>
  <w:style w:type="character" w:customStyle="1" w:styleId="69">
    <w:name w:val="font41"/>
    <w:basedOn w:val="27"/>
    <w:qFormat/>
    <w:uiPriority w:val="0"/>
    <w:rPr>
      <w:rFonts w:hint="default" w:ascii="Times New Roman" w:hAnsi="Times New Roman" w:cs="Times New Roman"/>
      <w:color w:val="000000"/>
      <w:sz w:val="22"/>
      <w:szCs w:val="22"/>
      <w:u w:val="none"/>
      <w:vertAlign w:val="subscript"/>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image" Target="media/image1.png"/><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SSD\Desktop\&#25968;&#25454;&#36879;&#35270;&#34920;&#21450;excel&#20989;&#25968;&#27979;&#35797;.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制图!$A$3</c:f>
              <c:strCache>
                <c:ptCount val="1"/>
                <c:pt idx="0">
                  <c:v>GDP（万元）</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elete val="1"/>
          </c:dLbls>
          <c:cat>
            <c:strRef>
              <c:f>制图!$B$2:$G$2</c:f>
              <c:strCache>
                <c:ptCount val="6"/>
                <c:pt idx="0">
                  <c:v>2015年</c:v>
                </c:pt>
                <c:pt idx="1">
                  <c:v>2016年</c:v>
                </c:pt>
                <c:pt idx="2">
                  <c:v>2017年</c:v>
                </c:pt>
                <c:pt idx="3">
                  <c:v>2018年</c:v>
                </c:pt>
                <c:pt idx="4">
                  <c:v>2019年</c:v>
                </c:pt>
                <c:pt idx="5">
                  <c:v>2020年</c:v>
                </c:pt>
              </c:strCache>
            </c:strRef>
          </c:cat>
          <c:val>
            <c:numRef>
              <c:f>制图!$B$3:$G$3</c:f>
              <c:numCache>
                <c:formatCode>General</c:formatCode>
                <c:ptCount val="6"/>
                <c:pt idx="0">
                  <c:v>2189872</c:v>
                </c:pt>
                <c:pt idx="1">
                  <c:v>2424588</c:v>
                </c:pt>
                <c:pt idx="2">
                  <c:v>2716685</c:v>
                </c:pt>
                <c:pt idx="3">
                  <c:v>2970345</c:v>
                </c:pt>
                <c:pt idx="4">
                  <c:v>3429374</c:v>
                </c:pt>
                <c:pt idx="5">
                  <c:v>3601000</c:v>
                </c:pt>
              </c:numCache>
            </c:numRef>
          </c:val>
        </c:ser>
        <c:dLbls>
          <c:showLegendKey val="0"/>
          <c:showVal val="0"/>
          <c:showCatName val="0"/>
          <c:showSerName val="0"/>
          <c:showPercent val="0"/>
          <c:showBubbleSize val="0"/>
        </c:dLbls>
        <c:gapWidth val="100"/>
        <c:overlap val="-24"/>
        <c:axId val="524574403"/>
        <c:axId val="966560020"/>
      </c:barChart>
      <c:catAx>
        <c:axId val="524574403"/>
        <c:scaling>
          <c:orientation val="minMax"/>
        </c:scaling>
        <c:delete val="0"/>
        <c:axPos val="b"/>
        <c:numFmt formatCode="General" sourceLinked="1"/>
        <c:majorTickMark val="out"/>
        <c:minorTickMark val="none"/>
        <c:tickLblPos val="nextTo"/>
        <c:spPr>
          <a:noFill/>
          <a:ln w="12700"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p>
        </c:txPr>
        <c:crossAx val="966560020"/>
        <c:crosses val="autoZero"/>
        <c:auto val="1"/>
        <c:lblAlgn val="ctr"/>
        <c:lblOffset val="100"/>
        <c:noMultiLvlLbl val="0"/>
      </c:catAx>
      <c:valAx>
        <c:axId val="9665600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p>
        </c:txPr>
        <c:crossAx val="524574403"/>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800"/>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工作表465539!$A$2</c:f>
              <c:strCache>
                <c:ptCount val="1"/>
                <c:pt idx="0">
                  <c:v>第一产业</c:v>
                </c:pt>
              </c:strCache>
            </c:strRef>
          </c:tx>
          <c:spPr>
            <a:solidFill>
              <a:srgbClr val="5B9BD5"/>
            </a:solidFill>
            <a:ln>
              <a:noFill/>
            </a:ln>
          </c:spPr>
          <c:invertIfNegative val="0"/>
          <c:dLbls>
            <c:delete val="1"/>
          </c:dLbls>
          <c:cat>
            <c:strRef>
              <c:f>工作表465539!$B$1:$G$1</c:f>
              <c:strCache>
                <c:ptCount val="6"/>
                <c:pt idx="0">
                  <c:v>2015年</c:v>
                </c:pt>
                <c:pt idx="1">
                  <c:v>2016年</c:v>
                </c:pt>
                <c:pt idx="2">
                  <c:v>2017年</c:v>
                </c:pt>
                <c:pt idx="3" c:formatCode="0.0_ ">
                  <c:v>2018年</c:v>
                </c:pt>
                <c:pt idx="4">
                  <c:v>2019年</c:v>
                </c:pt>
                <c:pt idx="5">
                  <c:v>2020年</c:v>
                </c:pt>
              </c:strCache>
            </c:strRef>
          </c:cat>
          <c:val>
            <c:numRef>
              <c:f>工作表465539!$B$2:$G$2</c:f>
              <c:numCache>
                <c:formatCode>General</c:formatCode>
                <c:ptCount val="6"/>
                <c:pt idx="0">
                  <c:v>21.1</c:v>
                </c:pt>
                <c:pt idx="1">
                  <c:v>22.21</c:v>
                </c:pt>
                <c:pt idx="2">
                  <c:v>21.2</c:v>
                </c:pt>
                <c:pt idx="3" c:formatCode="0.0_ ">
                  <c:v>20.1</c:v>
                </c:pt>
                <c:pt idx="4">
                  <c:v>20.1</c:v>
                </c:pt>
                <c:pt idx="5">
                  <c:v>19.7</c:v>
                </c:pt>
              </c:numCache>
            </c:numRef>
          </c:val>
        </c:ser>
        <c:ser>
          <c:idx val="1"/>
          <c:order val="1"/>
          <c:tx>
            <c:strRef>
              <c:f>工作表465539!$A$3</c:f>
              <c:strCache>
                <c:ptCount val="1"/>
                <c:pt idx="0">
                  <c:v>第二产业</c:v>
                </c:pt>
              </c:strCache>
            </c:strRef>
          </c:tx>
          <c:spPr>
            <a:solidFill>
              <a:srgbClr val="ED7D31"/>
            </a:solidFill>
            <a:ln>
              <a:noFill/>
            </a:ln>
          </c:spPr>
          <c:invertIfNegative val="0"/>
          <c:dLbls>
            <c:delete val="1"/>
          </c:dLbls>
          <c:cat>
            <c:strRef>
              <c:f>工作表465539!$B$1:$G$1</c:f>
              <c:strCache>
                <c:ptCount val="6"/>
                <c:pt idx="0">
                  <c:v>2015年</c:v>
                </c:pt>
                <c:pt idx="1">
                  <c:v>2016年</c:v>
                </c:pt>
                <c:pt idx="2">
                  <c:v>2017年</c:v>
                </c:pt>
                <c:pt idx="3" c:formatCode="0.0_ ">
                  <c:v>2018年</c:v>
                </c:pt>
                <c:pt idx="4">
                  <c:v>2019年</c:v>
                </c:pt>
                <c:pt idx="5">
                  <c:v>2020年</c:v>
                </c:pt>
              </c:strCache>
            </c:strRef>
          </c:cat>
          <c:val>
            <c:numRef>
              <c:f>工作表465539!$B$3:$G$3</c:f>
              <c:numCache>
                <c:formatCode>General</c:formatCode>
                <c:ptCount val="6"/>
                <c:pt idx="0">
                  <c:v>36</c:v>
                </c:pt>
                <c:pt idx="1">
                  <c:v>42.36</c:v>
                </c:pt>
                <c:pt idx="2">
                  <c:v>43.5</c:v>
                </c:pt>
                <c:pt idx="3" c:formatCode="0.0_ ">
                  <c:v>42.9</c:v>
                </c:pt>
                <c:pt idx="4">
                  <c:v>34.3</c:v>
                </c:pt>
                <c:pt idx="5">
                  <c:v>32.1</c:v>
                </c:pt>
              </c:numCache>
            </c:numRef>
          </c:val>
        </c:ser>
        <c:ser>
          <c:idx val="3"/>
          <c:order val="2"/>
          <c:tx>
            <c:strRef>
              <c:f>工作表465539!$A$4</c:f>
              <c:strCache>
                <c:ptCount val="1"/>
                <c:pt idx="0">
                  <c:v>第三产业</c:v>
                </c:pt>
              </c:strCache>
            </c:strRef>
          </c:tx>
          <c:spPr>
            <a:solidFill>
              <a:srgbClr val="FFC000"/>
            </a:solidFill>
            <a:ln>
              <a:noFill/>
            </a:ln>
          </c:spPr>
          <c:invertIfNegative val="0"/>
          <c:dLbls>
            <c:delete val="1"/>
          </c:dLbls>
          <c:cat>
            <c:strRef>
              <c:f>工作表465539!$B$1:$G$1</c:f>
              <c:strCache>
                <c:ptCount val="6"/>
                <c:pt idx="0">
                  <c:v>2015年</c:v>
                </c:pt>
                <c:pt idx="1">
                  <c:v>2016年</c:v>
                </c:pt>
                <c:pt idx="2">
                  <c:v>2017年</c:v>
                </c:pt>
                <c:pt idx="3" c:formatCode="0.0_ ">
                  <c:v>2018年</c:v>
                </c:pt>
                <c:pt idx="4">
                  <c:v>2019年</c:v>
                </c:pt>
                <c:pt idx="5">
                  <c:v>2020年</c:v>
                </c:pt>
              </c:strCache>
            </c:strRef>
          </c:cat>
          <c:val>
            <c:numRef>
              <c:f>工作表465539!$B$4:$G$4</c:f>
              <c:numCache>
                <c:formatCode>General</c:formatCode>
                <c:ptCount val="6"/>
                <c:pt idx="0">
                  <c:v>42.9</c:v>
                </c:pt>
                <c:pt idx="1">
                  <c:v>35.43</c:v>
                </c:pt>
                <c:pt idx="2">
                  <c:v>35.3</c:v>
                </c:pt>
                <c:pt idx="3" c:formatCode="0.0_ ">
                  <c:v>37</c:v>
                </c:pt>
                <c:pt idx="4">
                  <c:v>45.6</c:v>
                </c:pt>
                <c:pt idx="5">
                  <c:v>48.2</c:v>
                </c:pt>
              </c:numCache>
            </c:numRef>
          </c:val>
        </c:ser>
        <c:dLbls>
          <c:showLegendKey val="0"/>
          <c:showVal val="0"/>
          <c:showCatName val="0"/>
          <c:showSerName val="0"/>
          <c:showPercent val="0"/>
          <c:showBubbleSize val="0"/>
        </c:dLbls>
        <c:gapWidth val="150"/>
        <c:overlap val="100"/>
        <c:axId val="661663432"/>
        <c:axId val="1"/>
      </c:barChart>
      <c:catAx>
        <c:axId val="661663432"/>
        <c:scaling>
          <c:orientation val="minMax"/>
        </c:scaling>
        <c:delete val="0"/>
        <c:axPos val="b"/>
        <c:numFmt formatCode="General" sourceLinked="0"/>
        <c:majorTickMark val="none"/>
        <c:minorTickMark val="none"/>
        <c:tickLblPos val="nextTo"/>
        <c:spPr>
          <a:ln w="12700" cap="flat" cmpd="sng" algn="ctr">
            <a:solidFill>
              <a:srgbClr val="D9D9D9"/>
            </a:solidFill>
            <a:prstDash val="solid"/>
            <a:round/>
          </a:ln>
        </c:spPr>
        <c:txPr>
          <a:bodyPr rot="0" spcFirstLastPara="0" vertOverflow="ellipsis" vert="horz" wrap="square" anchor="t" anchorCtr="0"/>
          <a:lstStyle/>
          <a:p>
            <a:pPr>
              <a:defRPr lang="zh-CN" sz="900" b="0" i="0" u="none" strike="noStrike" kern="1200" baseline="0">
                <a:solidFill>
                  <a:srgbClr val="595959"/>
                </a:solidFill>
                <a:latin typeface="华文细黑" panose="02010600040101010101" charset="-122"/>
                <a:ea typeface="华文细黑" panose="02010600040101010101" charset="-122"/>
                <a:cs typeface="Lucida Sans" panose="020B0602030504020204"/>
              </a:defRPr>
            </a:pPr>
          </a:p>
        </c:txPr>
        <c:crossAx val="1"/>
        <c:crosses val="autoZero"/>
        <c:auto val="1"/>
        <c:lblAlgn val="ctr"/>
        <c:lblOffset val="100"/>
        <c:noMultiLvlLbl val="0"/>
      </c:catAx>
      <c:valAx>
        <c:axId val="1"/>
        <c:scaling>
          <c:orientation val="minMax"/>
        </c:scaling>
        <c:delete val="0"/>
        <c:axPos val="l"/>
        <c:majorGridlines>
          <c:spPr>
            <a:ln w="12700" cap="flat" cmpd="sng" algn="ctr">
              <a:solidFill>
                <a:srgbClr val="D9D9D9"/>
              </a:solidFill>
              <a:prstDash val="solid"/>
              <a:round/>
            </a:ln>
          </c:spPr>
        </c:majorGridlines>
        <c:numFmt formatCode="0%" sourceLinked="0"/>
        <c:majorTickMark val="none"/>
        <c:minorTickMark val="none"/>
        <c:tickLblPos val="nextTo"/>
        <c:spPr>
          <a:ln w="9525" cap="flat" cmpd="sng" algn="ctr">
            <a:noFill/>
            <a:prstDash val="solid"/>
            <a:round/>
          </a:ln>
        </c:spPr>
        <c:txPr>
          <a:bodyPr rot="0" spcFirstLastPara="0" vertOverflow="ellipsis" vert="horz" wrap="square" anchor="t" anchorCtr="0"/>
          <a:lstStyle/>
          <a:p>
            <a:pPr>
              <a:defRPr lang="zh-CN" sz="900" b="0" i="0" u="none" strike="noStrike" kern="1200" baseline="0">
                <a:solidFill>
                  <a:srgbClr val="595959"/>
                </a:solidFill>
                <a:latin typeface="华文细黑" panose="02010600040101010101" charset="-122"/>
                <a:ea typeface="华文细黑" panose="02010600040101010101" charset="-122"/>
                <a:cs typeface="Lucida Sans" panose="020B0602030504020204"/>
              </a:defRPr>
            </a:pPr>
          </a:p>
        </c:txPr>
        <c:crossAx val="661663432"/>
        <c:crosses val="autoZero"/>
        <c:crossBetween val="between"/>
      </c:valAx>
      <c:spPr>
        <a:noFill/>
        <a:ln>
          <a:noFill/>
        </a:ln>
      </c:spPr>
    </c:plotArea>
    <c:legend>
      <c:legendPos val="b"/>
      <c:legendEntry>
        <c:idx val="0"/>
        <c:txPr>
          <a:bodyPr rot="0" spcFirstLastPara="0" vertOverflow="ellipsis" vert="horz" wrap="square" anchor="ctr" anchorCtr="1"/>
          <a:lstStyle/>
          <a:p>
            <a:pPr>
              <a:defRPr lang="zh-CN" sz="900" b="0" i="0" u="none" strike="noStrike" kern="1200" baseline="0">
                <a:solidFill>
                  <a:srgbClr val="595959"/>
                </a:solidFill>
                <a:latin typeface="华文细黑" panose="02010600040101010101" charset="-122"/>
                <a:ea typeface="华文细黑" panose="02010600040101010101" charset="-122"/>
                <a:cs typeface="Lucida Sans" panose="020B0602030504020204"/>
              </a:defRPr>
            </a:pPr>
          </a:p>
        </c:txPr>
      </c:legendEntry>
      <c:legendEntry>
        <c:idx val="1"/>
        <c:txPr>
          <a:bodyPr rot="0" spcFirstLastPara="0" vertOverflow="ellipsis" vert="horz" wrap="square" anchor="ctr" anchorCtr="1"/>
          <a:lstStyle/>
          <a:p>
            <a:pPr>
              <a:defRPr lang="zh-CN" sz="900" b="0" i="0" u="none" strike="noStrike" kern="1200" baseline="0">
                <a:solidFill>
                  <a:srgbClr val="595959"/>
                </a:solidFill>
                <a:latin typeface="华文细黑" panose="02010600040101010101" charset="-122"/>
                <a:ea typeface="华文细黑" panose="02010600040101010101" charset="-122"/>
                <a:cs typeface="Lucida Sans" panose="020B0602030504020204"/>
              </a:defRPr>
            </a:pPr>
          </a:p>
        </c:txPr>
      </c:legendEntry>
      <c:legendEntry>
        <c:idx val="2"/>
        <c:txPr>
          <a:bodyPr rot="0" spcFirstLastPara="0" vertOverflow="ellipsis" vert="horz" wrap="square" anchor="ctr" anchorCtr="1"/>
          <a:lstStyle/>
          <a:p>
            <a:pPr>
              <a:defRPr lang="zh-CN" sz="900" b="0" i="0" u="none" strike="noStrike" kern="1200" baseline="0">
                <a:solidFill>
                  <a:srgbClr val="595959"/>
                </a:solidFill>
                <a:latin typeface="华文细黑" panose="02010600040101010101" charset="-122"/>
                <a:ea typeface="华文细黑" panose="02010600040101010101" charset="-122"/>
                <a:cs typeface="Lucida Sans" panose="020B0602030504020204"/>
              </a:defRPr>
            </a:pPr>
          </a:p>
        </c:txPr>
      </c:legendEntry>
      <c:layout/>
      <c:overlay val="0"/>
      <c:spPr>
        <a:noFill/>
        <a:ln>
          <a:noFill/>
        </a:ln>
      </c:spPr>
      <c:txPr>
        <a:bodyPr rot="0" spcFirstLastPara="0" vertOverflow="ellipsis" vert="horz" wrap="square" anchor="ctr" anchorCtr="1"/>
        <a:lstStyle/>
        <a:p>
          <a:pPr>
            <a:defRPr lang="zh-CN" sz="900" b="0" i="0" u="none" strike="noStrike" kern="1200" baseline="0">
              <a:solidFill>
                <a:srgbClr val="595959"/>
              </a:solidFill>
              <a:latin typeface="华文细黑" panose="02010600040101010101" charset="-122"/>
              <a:ea typeface="华文细黑" panose="02010600040101010101" charset="-122"/>
              <a:cs typeface="Lucida Sans" panose="020B0602030504020204"/>
            </a:defRPr>
          </a:pPr>
        </a:p>
      </c:txPr>
    </c:legend>
    <c:plotVisOnly val="1"/>
    <c:dispBlanksAs val="gap"/>
    <c:showDLblsOverMax val="0"/>
  </c:chart>
  <c:spPr>
    <a:solidFill>
      <a:srgbClr val="FFFFFF"/>
    </a:solidFill>
    <a:ln w="9525" cap="flat" cmpd="sng" algn="ctr">
      <a:noFill/>
      <a:prstDash val="solid"/>
      <a:round/>
    </a:ln>
  </c:spPr>
  <c:txPr>
    <a:bodyPr/>
    <a:lstStyle/>
    <a:p>
      <a:pPr>
        <a:defRPr lang="zh-CN" sz="1000" b="0" i="0" u="none" strike="noStrike" baseline="0">
          <a:solidFill>
            <a:srgbClr val="000000"/>
          </a:solidFill>
          <a:latin typeface="华文细黑" panose="02010600040101010101" charset="-122"/>
          <a:ea typeface="华文细黑" panose="02010600040101010101" charset="-122"/>
          <a:cs typeface="Lucida Sans" panose="020B0602030504020204"/>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7FAE03-56EF-4993-9712-072364E75EBF}">
  <ds:schemaRefs/>
</ds:datastoreItem>
</file>

<file path=docProps/app.xml><?xml version="1.0" encoding="utf-8"?>
<Properties xmlns="http://schemas.openxmlformats.org/officeDocument/2006/extended-properties" xmlns:vt="http://schemas.openxmlformats.org/officeDocument/2006/docPropsVTypes">
  <Template>Normal.dotm</Template>
  <Pages>137</Pages>
  <Words>77493</Words>
  <Characters>79031</Characters>
  <Lines>671</Lines>
  <Paragraphs>188</Paragraphs>
  <TotalTime>6</TotalTime>
  <ScaleCrop>false</ScaleCrop>
  <LinksUpToDate>false</LinksUpToDate>
  <CharactersWithSpaces>79661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2021-01-08T02:15:00Z</dcterms:created>
  <dc:creator>Administrator</dc:creator>
  <cp:lastModifiedBy>11111</cp:lastModifiedBy>
  <cp:lastPrinted>2021-02-01T14:21:00Z</cp:lastPrinted>
  <dcterms:modified xsi:type="dcterms:W3CDTF">2024-01-25T08:56:52Z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E744C1D861014A8BA896D93FCB9D2E35</vt:lpwstr>
  </property>
</Properties>
</file>